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28C09C4"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 w14:paraId="30AB14F1"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 w14:paraId="32D84541"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 w14:paraId="519150A7"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серпня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2026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477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 w14:paraId="4DE8180E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t xml:space="preserve">Прогноз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Бюджету </w:t>
      </w:r>
      <w:r>
        <w:rPr>
          <w:rFonts w:ascii="Times New Roman" w:hAnsi="Times New Roman" w:cs="Times New Roman"/>
          <w:b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2027-2029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widowControl w:val="false"/>
        <w:pBdr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  <w:tab w:val="left" w:leader="none" w:pos="4680"/>
          <w:tab w:val="left" w:leader="none" w:pos="5040"/>
          <w:tab w:val="left" w:leader="none" w:pos="5400"/>
          <w:tab w:val="left" w:leader="none" w:pos="5760"/>
          <w:tab w:val="left" w:leader="none" w:pos="6120"/>
          <w:tab w:val="left" w:leader="none" w:pos="6480"/>
          <w:tab w:val="left" w:leader="none" w:pos="6840"/>
          <w:tab w:val="left" w:leader="none" w:pos="7200"/>
          <w:tab w:val="left" w:leader="none" w:pos="7560"/>
          <w:tab w:val="left" w:leader="none" w:pos="7920"/>
          <w:tab w:val="left" w:leader="none" w:pos="8280"/>
          <w:tab w:val="left" w:leader="none" w:pos="8640"/>
          <w:tab w:val="left" w:leader="none" w:pos="9000"/>
          <w:tab w:val="left" w:leader="none" w:pos="9360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20540000000</w:t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widowControl w:val="false"/>
        <w:pBdr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  <w:tab w:val="left" w:leader="none" w:pos="4680"/>
          <w:tab w:val="left" w:leader="none" w:pos="5040"/>
          <w:tab w:val="left" w:leader="none" w:pos="5400"/>
          <w:tab w:val="left" w:leader="none" w:pos="5760"/>
          <w:tab w:val="left" w:leader="none" w:pos="6120"/>
          <w:tab w:val="left" w:leader="none" w:pos="6480"/>
          <w:tab w:val="left" w:leader="none" w:pos="6840"/>
          <w:tab w:val="left" w:leader="none" w:pos="7200"/>
          <w:tab w:val="left" w:leader="none" w:pos="7560"/>
          <w:tab w:val="left" w:leader="none" w:pos="7920"/>
          <w:tab w:val="left" w:leader="none" w:pos="8280"/>
          <w:tab w:val="left" w:leader="none" w:pos="8640"/>
          <w:tab w:val="left" w:leader="none" w:pos="9000"/>
          <w:tab w:val="left" w:leader="none" w:pos="9360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(код бюджету)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Загальна частина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на 2027-2029</w:t>
      </w:r>
      <w:r>
        <w:rPr>
          <w:rFonts w:ascii="Times New Roman" w:hAnsi="Times New Roman" w:cs="Times New Roman"/>
          <w:sz w:val="28"/>
          <w:szCs w:val="28"/>
        </w:rPr>
        <w:t xml:space="preserve"> роки (далі – Прогноз) розроблено з урахуванням вимог, визначених статтею 75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кодексу України та з урахуванням Бюджетної декларації </w:t>
      </w:r>
      <w:r>
        <w:rPr>
          <w:rFonts w:ascii="Times New Roman" w:hAnsi="Times New Roman" w:cs="Times New Roman"/>
          <w:sz w:val="28"/>
          <w:szCs w:val="28"/>
        </w:rPr>
        <w:t xml:space="preserve">на 2027</w:t>
      </w:r>
      <w:r>
        <w:rPr>
          <w:rFonts w:ascii="Times New Roman" w:hAnsi="Times New Roman" w:cs="Times New Roman"/>
          <w:sz w:val="28"/>
          <w:szCs w:val="28"/>
        </w:rPr>
        <w:t xml:space="preserve">-202</w:t>
      </w:r>
      <w:r>
        <w:rPr>
          <w:rFonts w:ascii="Times New Roman" w:hAnsi="Times New Roman" w:cs="Times New Roman"/>
          <w:sz w:val="28"/>
          <w:szCs w:val="28"/>
        </w:rPr>
        <w:t xml:space="preserve">9 роки</w:t>
      </w:r>
      <w:r>
        <w:rPr>
          <w:rFonts w:ascii="Times New Roman" w:hAnsi="Times New Roman" w:cs="Times New Roman"/>
          <w:sz w:val="28"/>
          <w:szCs w:val="28"/>
        </w:rPr>
        <w:t xml:space="preserve">, затвердженої постановою Кабінету Міністрів України </w:t>
      </w:r>
      <w:r>
        <w:rPr>
          <w:rFonts w:ascii="Times New Roman" w:hAnsi="Times New Roman" w:cs="Times New Roman"/>
          <w:sz w:val="28"/>
          <w:szCs w:val="28"/>
        </w:rPr>
        <w:t xml:space="preserve">від 17 червня 2026 р. № 793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Метою Прогнозу є розвиток бюджетної політики середньострокового бюджетного планування на місцевому рівні, удосконалення між</w:t>
      </w:r>
      <w:r>
        <w:rPr>
          <w:rFonts w:ascii="Times New Roman" w:hAnsi="Times New Roman" w:cs="Times New Roman"/>
          <w:sz w:val="28"/>
          <w:szCs w:val="28"/>
        </w:rPr>
        <w:t xml:space="preserve">бюджетного регулювання, зміцнення фінансової спроможності міського бюджету, підвищення прозорості та результативності використання бюджетних ресурсів, а також формування бюджетних програм за окремими напрямами та чітко визначеними цілями на декілька років.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Основними завданнями бюджетної політики міської ради на середньострокову перспективу є: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планування реальних надходжень бюджету громади на основі прогнозних </w:t>
      </w:r>
      <w:r>
        <w:rPr>
          <w:rFonts w:ascii="Times New Roman" w:hAnsi="Times New Roman" w:cs="Times New Roman"/>
          <w:sz w:val="28"/>
          <w:szCs w:val="28"/>
        </w:rPr>
        <w:t xml:space="preserve">макропоказників</w:t>
      </w:r>
      <w:r>
        <w:rPr>
          <w:rFonts w:ascii="Times New Roman" w:hAnsi="Times New Roman" w:cs="Times New Roman"/>
          <w:sz w:val="28"/>
          <w:szCs w:val="28"/>
        </w:rPr>
        <w:t xml:space="preserve"> економічного і соціального розвитку міста </w:t>
      </w:r>
      <w:r>
        <w:rPr>
          <w:rFonts w:ascii="Times New Roman" w:hAnsi="Times New Roman" w:cs="Times New Roman"/>
          <w:sz w:val="28"/>
          <w:szCs w:val="28"/>
        </w:rPr>
        <w:br/>
        <w:t xml:space="preserve">з урахуванням зміни податкової бази і фактичного рівня відповідних надходжень за минулі періоди;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виконання дохідної частини бюджету міської ради відповідно до показників, затверджених міською радою;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вжиття заходів до залучення додаткових надходжень до місцевого бюджету, зокрема, шляхом забезпечення ефективного управління об’єктами комунальної власності та земельними ресурсами;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підвищення ефективності управління бюджетними коштами шляхом застосування дієвих методів економії бюджетних коштів;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стабільного функціонування бюджетних установ та виконання заходів, передбачених цільовими (комплексними програмами);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1"/>
        </w:numPr>
        <w:pBdr/>
        <w:shd w:val="clear" w:color="auto" w:fill="ffffff"/>
        <w:spacing w:after="0" w:afterAutospacing="0" w:before="0" w:beforeAutospacing="0" w:line="240" w:lineRule="auto"/>
        <w:ind w:right="0" w:firstLine="708" w:left="0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запровадження дієвих заходів з енергозбереження;</w:t>
      </w:r>
      <w:r>
        <w:rPr>
          <w:sz w:val="28"/>
          <w:szCs w:val="28"/>
          <w:shd w:val="clear" w:color="auto" w:fill="ffffff"/>
        </w:rPr>
      </w:r>
    </w:p>
    <w:p>
      <w:pPr>
        <w:pStyle w:val="684"/>
        <w:numPr>
          <w:ilvl w:val="0"/>
          <w:numId w:val="1"/>
        </w:numPr>
        <w:pBdr/>
        <w:shd w:val="clear" w:color="auto" w:fill="ffffff"/>
        <w:spacing w:after="0" w:afterAutospacing="0" w:before="0" w:beforeAutospacing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покращення добробуту та якості життя населення громади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87"/>
        <w:pBdr/>
        <w:shd w:val="clear" w:color="auto" w:fill="ffffff"/>
        <w:spacing w:after="0" w:afterAutospacing="0" w:before="0" w:beforeAutospacing="0" w:line="240" w:lineRule="auto"/>
        <w:ind w:firstLine="720"/>
        <w:jc w:val="both"/>
        <w:rPr>
          <w:rStyle w:val="688"/>
          <w:sz w:val="28"/>
          <w:szCs w:val="28"/>
          <w:lang w:val="uk-UA"/>
        </w:rPr>
      </w:pPr>
      <w:r>
        <w:rPr>
          <w:rStyle w:val="688"/>
          <w:sz w:val="28"/>
          <w:szCs w:val="28"/>
        </w:rPr>
        <w:t xml:space="preserve">Прогноз </w:t>
      </w:r>
      <w:r>
        <w:rPr>
          <w:rStyle w:val="688"/>
          <w:sz w:val="28"/>
          <w:szCs w:val="28"/>
          <w:lang w:val="uk-UA"/>
        </w:rPr>
        <w:t xml:space="preserve">ґрунтується</w:t>
      </w:r>
      <w:r>
        <w:rPr>
          <w:rStyle w:val="688"/>
          <w:sz w:val="28"/>
          <w:szCs w:val="28"/>
        </w:rPr>
        <w:t xml:space="preserve"> на принципах </w:t>
      </w:r>
      <w:r>
        <w:rPr>
          <w:rStyle w:val="688"/>
          <w:sz w:val="28"/>
          <w:szCs w:val="28"/>
          <w:lang w:val="uk-UA"/>
        </w:rPr>
        <w:t xml:space="preserve">збалансованості, обґрунтованості, ефективності </w:t>
      </w:r>
      <w:r>
        <w:rPr>
          <w:rStyle w:val="688"/>
          <w:sz w:val="28"/>
          <w:szCs w:val="28"/>
        </w:rPr>
        <w:t xml:space="preserve">та </w:t>
      </w:r>
      <w:r>
        <w:rPr>
          <w:rStyle w:val="688"/>
          <w:sz w:val="28"/>
          <w:szCs w:val="28"/>
          <w:lang w:val="uk-UA"/>
        </w:rPr>
        <w:t xml:space="preserve">результативності</w:t>
      </w:r>
      <w:r>
        <w:rPr>
          <w:rStyle w:val="688"/>
          <w:sz w:val="28"/>
          <w:szCs w:val="28"/>
        </w:rPr>
        <w:t xml:space="preserve"> </w:t>
      </w:r>
      <w:r>
        <w:rPr>
          <w:rStyle w:val="688"/>
          <w:sz w:val="28"/>
          <w:szCs w:val="28"/>
          <w:lang w:val="uk-UA"/>
        </w:rPr>
        <w:t xml:space="preserve">бюджетної</w:t>
      </w:r>
      <w:r>
        <w:rPr>
          <w:rStyle w:val="688"/>
          <w:sz w:val="28"/>
          <w:szCs w:val="28"/>
        </w:rPr>
        <w:t xml:space="preserve"> </w:t>
      </w:r>
      <w:r>
        <w:rPr>
          <w:rStyle w:val="688"/>
          <w:sz w:val="28"/>
          <w:szCs w:val="28"/>
          <w:lang w:val="uk-UA"/>
        </w:rPr>
        <w:t xml:space="preserve">системи.</w:t>
      </w:r>
      <w:r>
        <w:rPr>
          <w:rStyle w:val="688"/>
          <w:sz w:val="28"/>
          <w:szCs w:val="28"/>
        </w:rPr>
        <w:t xml:space="preserve"> </w:t>
      </w:r>
      <w:r>
        <w:rPr>
          <w:rStyle w:val="688"/>
          <w:sz w:val="28"/>
          <w:szCs w:val="28"/>
          <w:lang w:val="uk-UA"/>
        </w:rPr>
      </w:r>
    </w:p>
    <w:p>
      <w:pPr>
        <w:pStyle w:val="684"/>
        <w:pBdr/>
        <w:spacing w:after="0" w:afterAutospacing="0" w:before="0" w:beforeAutospacing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Середньострокове планування передбачає визначення цілей та очікуваних результатів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2027-2029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роки, що дозволяє ефективніше розподіляти ресурси, покращувати фінансову стабільність та досягати стратегічних цілей в громаді.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 w14:paraId="7E93D483"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uk-UA"/>
        </w:rPr>
        <w:t xml:space="preserve">Цілі середньострокового планування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numPr>
          <w:ilvl w:val="0"/>
          <w:numId w:val="2"/>
        </w:num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uk-UA"/>
        </w:rPr>
        <w:t xml:space="preserve">Ефективний розподіл ресурсів: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птимальне використання фінансових, людських та матеріальних ресурсів для досягнення поставлених цілей, уникнення надмірних витрат та забезпечення фінансової стабільності. 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r>
    </w:p>
    <w:p>
      <w:pPr>
        <w:numPr>
          <w:ilvl w:val="0"/>
          <w:numId w:val="2"/>
        </w:num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uk-UA"/>
        </w:rPr>
        <w:t xml:space="preserve">Забезпечення фінансової стійкості: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п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рогнозування фінансових потреб та мо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жливостей, управління ризиками.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 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r>
    </w:p>
    <w:p>
      <w:pPr>
        <w:numPr>
          <w:ilvl w:val="0"/>
          <w:numId w:val="2"/>
        </w:num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uk-UA"/>
        </w:rPr>
        <w:t xml:space="preserve">Підтримка довгострокових цілей: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с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творення основи для довгострокового розвитку, забезпечення поступового досягнення стратегічних цілей на більш тривалий період. 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uk-UA"/>
        </w:rPr>
        <w:t xml:space="preserve">Очікувані результати середньострокового планування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numPr>
          <w:ilvl w:val="0"/>
          <w:numId w:val="3"/>
        </w:num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uk-UA"/>
        </w:rPr>
        <w:t xml:space="preserve">Зміцнення фінансової стабільності: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з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меншення ризиків, забезпечення платосп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роможності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  <w:t xml:space="preserve">. 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uk-UA"/>
        </w:rPr>
      </w:r>
    </w:p>
    <w:p>
      <w:p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Заходами з мінімізації впливу фіскальних ризиків на показники бюджету є здійснення заходів з </w:t>
      </w:r>
      <w:r>
        <w:rPr>
          <w:rFonts w:ascii="Times New Roman" w:hAnsi="Times New Roman" w:cs="Times New Roman"/>
          <w:sz w:val="28"/>
          <w:szCs w:val="28"/>
        </w:rPr>
        <w:t xml:space="preserve">енергоощадження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ниження частки тіньової економіки,  підвищення інвестиційної привабливості громади.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Основні прогнозні показники економічного та соціального розвитку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Пріоритети економічного і соціального розвитку громади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 xml:space="preserve">·</w:t>
      </w:r>
      <w:r>
        <w:rPr>
          <w:rFonts w:ascii="Times New Roman" w:hAnsi="Times New Roman" w:cs="Times New Roman"/>
          <w:sz w:val="28"/>
          <w:szCs w:val="28"/>
        </w:rPr>
        <w:t xml:space="preserve"> нарощування та ефективне використання виробничого потенціалу громади, забезпечення конкурентоспроможності господарського комплексу через інноваційний розвиток, освоєння нових видів продукції та послуг;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 xml:space="preserve">·</w:t>
      </w:r>
      <w:r>
        <w:rPr>
          <w:rFonts w:ascii="Times New Roman" w:hAnsi="Times New Roman" w:cs="Times New Roman"/>
          <w:sz w:val="28"/>
          <w:szCs w:val="28"/>
        </w:rPr>
        <w:t xml:space="preserve"> залучення інвестицій в економіку громади;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 xml:space="preserve">·</w:t>
      </w:r>
      <w:r>
        <w:rPr>
          <w:rFonts w:ascii="Times New Roman" w:hAnsi="Times New Roman" w:cs="Times New Roman"/>
          <w:sz w:val="28"/>
          <w:szCs w:val="28"/>
        </w:rPr>
        <w:t xml:space="preserve"> підвищення рівня енергозбереження та ефективності використання енергоресурсів в усіх сферах господарювання;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 xml:space="preserve">·</w:t>
      </w:r>
      <w:r>
        <w:rPr>
          <w:rFonts w:ascii="Times New Roman" w:hAnsi="Times New Roman" w:cs="Times New Roman"/>
          <w:sz w:val="28"/>
          <w:szCs w:val="28"/>
        </w:rPr>
        <w:t xml:space="preserve"> збереження досягнутих темпів реконструкції та капітального ремонту житлового фонду,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об’єктів благоустрою, об’єктів інженерних мереж, шляхового господарства, закладів гуманітарної сфери громади за рахунок коштів державного, місцевого бюджетів та інших джерел фінансування;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реформування житлово-комунального господарства громади;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розвиток малого та середнього підприємництва, приватної ініціативи;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зростання рівня зайнятості населення, створення нових робочих місць;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підвищення заробітної плати шляхом забезпечення економічного зростання у господарському комплексі громади, подальша ліквідація заборгованості із заробітної плати;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поліпшення екологічного стану громади;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всебічний розвиток гуманітарної сфери;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7"/>
        </w:numPr>
        <w:pBdr/>
        <w:spacing w:after="0" w:afterAutospacing="0" w:before="0" w:before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зміцнення законності та правопорядку.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Основними напрямами досягнення визначеної мети та виконання пріоритетних завдань є: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 сфері соціальної політики: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зростання заробітної плати, в тому числі</w:t>
      </w:r>
      <w:r>
        <w:rPr>
          <w:rFonts w:ascii="Times New Roman" w:hAnsi="Times New Roman" w:cs="Times New Roman"/>
          <w:sz w:val="28"/>
          <w:szCs w:val="28"/>
        </w:rPr>
        <w:t xml:space="preserve"> у бюджетній сфері;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пропаганда здорового способу життя;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якісне медичне обслуговування населення;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забезпечення захисту материнства і дитинства;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забезпечення подальшого розвитку дошкільної, загальної середньої та позашкільної освіти;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залучення широких кіл населення до занять фізичною культурою та спортом;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зростання духовно-інтелектуального потенціалу мешканців громади;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забезпечення соціального захисту незахищених верств населення.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Стратегічно важливим для розвитку економіки, наповнення міського бюджету, забезпечення зайнятості населення є діяльність підприємств, якими забезпечується значний обсяг валової продукції, на території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громаді налічується 1143 фізичних осіб-підприємців (ФОП) та 327 юридичних осіб, з яких 118 – неприбуткові підприємства, 22 сільськогосподарських підприємства різних форм власності, 3 відділення банків, 3 заклади фахової </w:t>
      </w:r>
      <w:r>
        <w:rPr>
          <w:rFonts w:ascii="Times New Roman" w:hAnsi="Times New Roman" w:cs="Times New Roman"/>
          <w:sz w:val="28"/>
          <w:szCs w:val="28"/>
        </w:rPr>
        <w:t xml:space="preserve">передвищої</w:t>
      </w:r>
      <w:r>
        <w:rPr>
          <w:rFonts w:ascii="Times New Roman" w:hAnsi="Times New Roman" w:cs="Times New Roman"/>
          <w:sz w:val="28"/>
          <w:szCs w:val="28"/>
        </w:rPr>
        <w:t xml:space="preserve"> освіти, 9 закладів загальної середньої освіти, 7 закладів дошкільної освіти, 3 позашкільних навчальних заклади, 1 КУ «</w:t>
      </w:r>
      <w:r>
        <w:rPr>
          <w:rFonts w:ascii="Times New Roman" w:hAnsi="Times New Roman" w:cs="Times New Roman"/>
          <w:sz w:val="28"/>
          <w:szCs w:val="28"/>
        </w:rPr>
        <w:t xml:space="preserve">Інклюзивно</w:t>
      </w:r>
      <w:r>
        <w:rPr>
          <w:rFonts w:ascii="Times New Roman" w:hAnsi="Times New Roman" w:cs="Times New Roman"/>
          <w:sz w:val="28"/>
          <w:szCs w:val="28"/>
        </w:rPr>
        <w:t xml:space="preserve">-ресурсний центр»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11 бібліотек, КЗ </w:t>
      </w:r>
      <w:r>
        <w:rPr>
          <w:rFonts w:ascii="Times New Roman" w:hAnsi="Times New Roman" w:cs="Times New Roman"/>
          <w:sz w:val="28"/>
          <w:szCs w:val="28"/>
        </w:rPr>
        <w:t xml:space="preserve">«Школа мистецтв»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КЗ «Будинок культури»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КЗ «Краєзнавчий музей імені Порфирія Мартиновича»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КНП «Берестинська міська лікарня», КНП «Берестинський центр первинної медико-санітарної допомоги», 6 місць надання медичних послуг: м. Берестин (відділення №1 та відділення №2), с. Піщанка, с. </w:t>
      </w:r>
      <w:r>
        <w:rPr>
          <w:rFonts w:ascii="Times New Roman" w:hAnsi="Times New Roman" w:cs="Times New Roman"/>
          <w:sz w:val="28"/>
          <w:szCs w:val="28"/>
        </w:rPr>
        <w:t xml:space="preserve">Берестовенька</w:t>
      </w:r>
      <w:r>
        <w:rPr>
          <w:rFonts w:ascii="Times New Roman" w:hAnsi="Times New Roman" w:cs="Times New Roman"/>
          <w:sz w:val="28"/>
          <w:szCs w:val="28"/>
        </w:rPr>
        <w:t xml:space="preserve">, с. </w:t>
      </w:r>
      <w:r>
        <w:rPr>
          <w:rFonts w:ascii="Times New Roman" w:hAnsi="Times New Roman" w:cs="Times New Roman"/>
          <w:sz w:val="28"/>
          <w:szCs w:val="28"/>
        </w:rPr>
        <w:t xml:space="preserve">Хрестище</w:t>
      </w:r>
      <w:r>
        <w:rPr>
          <w:rFonts w:ascii="Times New Roman" w:hAnsi="Times New Roman" w:cs="Times New Roman"/>
          <w:sz w:val="28"/>
          <w:szCs w:val="28"/>
        </w:rPr>
        <w:t xml:space="preserve">, с. Миколо-</w:t>
      </w:r>
      <w:r>
        <w:rPr>
          <w:rFonts w:ascii="Times New Roman" w:hAnsi="Times New Roman" w:cs="Times New Roman"/>
          <w:sz w:val="28"/>
          <w:szCs w:val="28"/>
        </w:rPr>
        <w:t xml:space="preserve">Комишувата</w:t>
      </w:r>
      <w:r>
        <w:rPr>
          <w:rFonts w:ascii="Times New Roman" w:hAnsi="Times New Roman" w:cs="Times New Roman"/>
          <w:sz w:val="28"/>
          <w:szCs w:val="28"/>
        </w:rPr>
        <w:t xml:space="preserve"> (пункти здоров’я </w:t>
      </w:r>
      <w:r>
        <w:rPr>
          <w:rFonts w:ascii="Times New Roman" w:hAnsi="Times New Roman" w:cs="Times New Roman"/>
          <w:sz w:val="28"/>
          <w:szCs w:val="28"/>
        </w:rPr>
        <w:t xml:space="preserve">с.Мирне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с.Зоряне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с.Кириліка</w:t>
      </w:r>
      <w:r>
        <w:rPr>
          <w:rFonts w:ascii="Times New Roman" w:hAnsi="Times New Roman" w:cs="Times New Roman"/>
          <w:sz w:val="28"/>
          <w:szCs w:val="28"/>
        </w:rPr>
        <w:t xml:space="preserve">), ТОВ «</w:t>
      </w:r>
      <w:r>
        <w:rPr>
          <w:rFonts w:ascii="Times New Roman" w:hAnsi="Times New Roman" w:cs="Times New Roman"/>
          <w:sz w:val="28"/>
          <w:szCs w:val="28"/>
        </w:rPr>
        <w:t xml:space="preserve">Красноградський</w:t>
      </w:r>
      <w:r>
        <w:rPr>
          <w:rFonts w:ascii="Times New Roman" w:hAnsi="Times New Roman" w:cs="Times New Roman"/>
          <w:sz w:val="28"/>
          <w:szCs w:val="28"/>
        </w:rPr>
        <w:t xml:space="preserve"> ринок», 5 супермаркетів, 212 об’єктів торгівлі, 21 об’єкт ресторанного господарства, 37 підприємств побутового обслуговування, 17 приватних аптек, 4 АЗС.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Економіка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міської територіальної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громади, не зважаючи на суспільно-політичну ситуацію в країні характеризується стабільною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инамікою. Основою економіки громади є промисловість, яка характеризується різнопл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ановістю. Основну частку становлять підприємства газовидобувної та переробної промисловості, сільськогосподарської промисловості, виробництва та розподілу електроенергії, газу та води, за рахунок яких відбулося нарощування обсягів промислового виробництва.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У 202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-202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9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роках очікується зростання виробництва промислової прод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укції у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ФБУ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Укрбургаз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» ПАТ «Укргазвидобування»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та ГПУ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Шебелинкагазвидобування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(за обсягом виконаних робіт).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Аналіз матеріалів, засвідчив, що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на більшості підприємств у 2027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році очікується позитивна динаміка промислового виробництва,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саме 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ГПУ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Шебелинкагазвидобування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»,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ФБУ«Укрбургаз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ПАТ «Укргазвидобування».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Поряд із цим, керівники підприємств визначають низку основних причин, що стримують нарощування обс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ягів виробництва: в першу чергу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суспільно-політична ситуація в країні, висока вартість енергоносіїв, жорстка цінова конкуренція на зовнішніх ринках, зниження кількості замовлень через низьку платоспроможність основних споживачів та інше.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tabs>
          <w:tab w:val="left" w:leader="none" w:pos="374"/>
          <w:tab w:val="left" w:leader="none" w:pos="748"/>
          <w:tab w:val="left" w:leader="none" w:pos="993"/>
          <w:tab w:val="left" w:leader="none" w:pos="6301"/>
        </w:tabs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Ситуація на цих підприємствах безпосередньо вплине на загальні показники роботи проми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слового комплексу громади у 2027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 році.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Style w:val="691"/>
        <w:pBdr/>
        <w:shd w:val="clear" w:color="auto" w:fill="ffffff"/>
        <w:spacing w:after="0" w:afterAutospacing="0" w:before="0" w:beforeAutospacing="0" w:line="24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Аграрний сектор громади, базовою складовою яко</w:t>
      </w:r>
      <w:r>
        <w:rPr>
          <w:color w:val="000000"/>
          <w:sz w:val="28"/>
          <w:szCs w:val="28"/>
        </w:rPr>
        <w:t xml:space="preserve">го є сільське господарство, формує продовольчу, економічну, екологічну та енергетичну безпеку. Його значення полягає не лише в забезпеченні населення харчовими продуктами, але і в тому, що він впливає на зайнятість населення та ефективний розвиток громади.</w:t>
      </w:r>
      <w:r>
        <w:rPr>
          <w:sz w:val="28"/>
          <w:szCs w:val="28"/>
        </w:rPr>
      </w:r>
    </w:p>
    <w:p>
      <w:pPr>
        <w:pStyle w:val="685"/>
        <w:pBdr/>
        <w:shd w:val="clear" w:color="auto" w:fill="ffffff"/>
        <w:spacing w:after="0" w:afterAutospacing="0" w:before="0" w:beforeAutospacing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сільській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місцевості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проживає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третина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всього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населення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громади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Агропромисловий</w:t>
      </w:r>
      <w:r>
        <w:rPr>
          <w:color w:val="000000"/>
          <w:sz w:val="28"/>
          <w:szCs w:val="28"/>
        </w:rPr>
        <w:t xml:space="preserve"> комплекс </w:t>
      </w:r>
      <w:r>
        <w:rPr>
          <w:color w:val="000000"/>
          <w:sz w:val="28"/>
          <w:szCs w:val="28"/>
        </w:rPr>
        <w:t xml:space="preserve">громади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формують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uk-UA"/>
        </w:rPr>
        <w:t xml:space="preserve">2</w:t>
      </w:r>
      <w:r>
        <w:rPr>
          <w:color w:val="000000"/>
          <w:sz w:val="28"/>
          <w:szCs w:val="28"/>
        </w:rPr>
        <w:t xml:space="preserve">2 </w:t>
      </w:r>
      <w:r>
        <w:rPr>
          <w:color w:val="000000"/>
          <w:sz w:val="28"/>
          <w:szCs w:val="28"/>
        </w:rPr>
        <w:t xml:space="preserve">сільськогосподарських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підприємств</w:t>
      </w:r>
      <w:r>
        <w:rPr>
          <w:color w:val="000000"/>
          <w:sz w:val="28"/>
          <w:szCs w:val="28"/>
          <w:lang w:val="uk-UA"/>
        </w:rPr>
        <w:t xml:space="preserve">а</w:t>
      </w:r>
      <w:r>
        <w:rPr>
          <w:color w:val="000000"/>
          <w:sz w:val="28"/>
          <w:szCs w:val="28"/>
        </w:rPr>
        <w:t xml:space="preserve">, 10 </w:t>
      </w:r>
      <w:r>
        <w:rPr>
          <w:color w:val="000000"/>
          <w:sz w:val="28"/>
          <w:szCs w:val="28"/>
        </w:rPr>
        <w:t xml:space="preserve">фермерських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господарств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фізичних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осіб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підприємців</w:t>
      </w:r>
      <w:r>
        <w:rPr>
          <w:color w:val="000000"/>
          <w:sz w:val="28"/>
          <w:szCs w:val="28"/>
        </w:rPr>
        <w:t xml:space="preserve"> - 6.</w:t>
      </w:r>
      <w:r>
        <w:rPr>
          <w:color w:val="000000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Передбачається удосконалення системи конкурсного відбору перевізників на міських та приміських автобусних сполучень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громади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Style w:val="69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92"/>
          <w:rFonts w:ascii="Times New Roman" w:hAnsi="Times New Roman" w:cs="Times New Roman"/>
          <w:color w:val="000000"/>
          <w:sz w:val="28"/>
          <w:szCs w:val="28"/>
        </w:rPr>
        <w:t xml:space="preserve">Перевезення пасажирів автомобільним транспортом на міських та приміських маршрутах здійснює ТОВ «Фенікс».</w:t>
      </w:r>
      <w:r>
        <w:rPr>
          <w:rStyle w:val="692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85"/>
        <w:pBdr/>
        <w:shd w:val="clear" w:color="auto" w:fill="ffffff"/>
        <w:spacing w:after="0" w:afterAutospacing="0" w:before="0" w:beforeAutospacing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693"/>
          <w:color w:val="000000"/>
          <w:sz w:val="28"/>
          <w:szCs w:val="28"/>
        </w:rPr>
        <w:t xml:space="preserve">Всього</w:t>
      </w:r>
      <w:r>
        <w:rPr>
          <w:rStyle w:val="693"/>
          <w:color w:val="000000"/>
          <w:sz w:val="28"/>
          <w:szCs w:val="28"/>
        </w:rPr>
        <w:t xml:space="preserve"> перевезено </w:t>
      </w:r>
      <w:r>
        <w:rPr>
          <w:rStyle w:val="693"/>
          <w:color w:val="000000"/>
          <w:sz w:val="28"/>
          <w:szCs w:val="28"/>
          <w:lang w:val="uk-UA"/>
        </w:rPr>
        <w:t xml:space="preserve">станом на 01.12.2025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</w:t>
      </w:r>
      <w:r>
        <w:rPr>
          <w:color w:val="000000"/>
          <w:sz w:val="28"/>
          <w:szCs w:val="28"/>
          <w:lang w:val="uk-UA"/>
        </w:rPr>
        <w:t xml:space="preserve">ку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близько</w:t>
      </w:r>
      <w:r>
        <w:rPr>
          <w:color w:val="000000"/>
          <w:sz w:val="28"/>
          <w:szCs w:val="28"/>
        </w:rPr>
        <w:t xml:space="preserve"> 200 </w:t>
      </w:r>
      <w:r>
        <w:rPr>
          <w:color w:val="000000"/>
          <w:sz w:val="28"/>
          <w:szCs w:val="28"/>
        </w:rPr>
        <w:t xml:space="preserve">тисяч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пасажирів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Загальна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кількість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автомобілів</w:t>
      </w:r>
      <w:r>
        <w:rPr>
          <w:color w:val="000000"/>
          <w:sz w:val="28"/>
          <w:szCs w:val="28"/>
        </w:rPr>
        <w:t xml:space="preserve"> на маршрутах 19 </w:t>
      </w:r>
      <w:r>
        <w:rPr>
          <w:color w:val="000000"/>
          <w:sz w:val="28"/>
          <w:szCs w:val="28"/>
        </w:rPr>
        <w:t xml:space="preserve">одиниць</w:t>
      </w:r>
      <w:r>
        <w:rPr>
          <w:color w:val="000000"/>
          <w:sz w:val="28"/>
          <w:szCs w:val="28"/>
        </w:rPr>
        <w:t xml:space="preserve"> (4 </w:t>
      </w:r>
      <w:r>
        <w:rPr>
          <w:color w:val="000000"/>
          <w:sz w:val="28"/>
          <w:szCs w:val="28"/>
        </w:rPr>
        <w:t xml:space="preserve">міжміські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маршрути</w:t>
      </w:r>
      <w:r>
        <w:rPr>
          <w:color w:val="000000"/>
          <w:sz w:val="28"/>
          <w:szCs w:val="28"/>
        </w:rPr>
        <w:t xml:space="preserve"> та 15 – </w:t>
      </w:r>
      <w:r>
        <w:rPr>
          <w:color w:val="000000"/>
          <w:sz w:val="28"/>
          <w:szCs w:val="28"/>
        </w:rPr>
        <w:t xml:space="preserve">міські</w:t>
      </w:r>
      <w:r>
        <w:rPr>
          <w:color w:val="000000"/>
          <w:sz w:val="28"/>
          <w:szCs w:val="28"/>
        </w:rPr>
        <w:t xml:space="preserve"> та </w:t>
      </w:r>
      <w:r>
        <w:rPr>
          <w:color w:val="000000"/>
          <w:sz w:val="28"/>
          <w:szCs w:val="28"/>
        </w:rPr>
        <w:t xml:space="preserve">приміські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маршрути</w:t>
      </w:r>
      <w:r>
        <w:rPr>
          <w:color w:val="000000"/>
          <w:sz w:val="28"/>
          <w:szCs w:val="28"/>
        </w:rPr>
        <w:t xml:space="preserve">)</w:t>
      </w:r>
      <w:r>
        <w:rPr>
          <w:color w:val="000000"/>
          <w:sz w:val="28"/>
          <w:szCs w:val="28"/>
          <w:lang w:val="uk-UA"/>
        </w:rPr>
        <w:t xml:space="preserve">.</w:t>
      </w:r>
      <w:r>
        <w:rPr>
          <w:color w:val="000000"/>
          <w:sz w:val="28"/>
          <w:szCs w:val="28"/>
          <w:lang w:val="uk-UA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Розвиток малого підприємництва є важливим елементом ринкової економіки, функціонування якої пов’язане із зростанням підприємницької активності.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Мале підприємництво сьогодні виступає важливим чинником, який впливає на процеси оптимізації структури економіки, зменшення безробіття, подолання бідності.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галузі торгівлі впродовж</w:t>
      </w:r>
      <w:r>
        <w:rPr>
          <w:rFonts w:ascii="Times New Roman" w:hAnsi="Times New Roman" w:cs="Times New Roman"/>
          <w:sz w:val="28"/>
          <w:szCs w:val="28"/>
        </w:rPr>
        <w:t xml:space="preserve"> останніх років загальна чисельність фізичних осіб-підприємців у громаді зменшилась з 1571 од. до 1312 од., з чисельністю працюючих 3,2 тис. осіб.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даний час в громаді функціонує: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- 214 стаціонарних торгових підприємств, з них продовольчих – 58, непродовольчих – 125, змішаного типу – 25;  в т. ч. 5 супермаркетів.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- 16  закладів ресторанного господарства та громадського харчування;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- 40  об’єктів  побутового обслуговування;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- 22 тимчасові споруди   об’єктів </w:t>
      </w:r>
      <w:r>
        <w:rPr>
          <w:rFonts w:ascii="Times New Roman" w:hAnsi="Times New Roman" w:cs="Times New Roman"/>
          <w:sz w:val="28"/>
          <w:szCs w:val="28"/>
        </w:rPr>
        <w:t xml:space="preserve">дрібнороздрібної</w:t>
      </w:r>
      <w:r>
        <w:rPr>
          <w:rFonts w:ascii="Times New Roman" w:hAnsi="Times New Roman" w:cs="Times New Roman"/>
          <w:sz w:val="28"/>
          <w:szCs w:val="28"/>
        </w:rPr>
        <w:t xml:space="preserve"> торгівлі;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Style w:val="692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- 5 АЗС.</w:t>
      </w:r>
      <w:r>
        <w:rPr>
          <w:rStyle w:val="692"/>
          <w:color w:val="000000"/>
          <w:sz w:val="28"/>
          <w:szCs w:val="28"/>
          <w:highlight w:val="yellow"/>
        </w:rPr>
      </w:r>
    </w:p>
    <w:p>
      <w:pPr>
        <w:pStyle w:val="691"/>
        <w:pBdr/>
        <w:spacing w:after="0" w:afterAutospacing="0" w:before="0" w:beforeAutospacing="0" w:line="240" w:lineRule="auto"/>
        <w:ind w:firstLine="567"/>
        <w:jc w:val="both"/>
        <w:rPr/>
      </w:pPr>
      <w:r>
        <w:rPr>
          <w:color w:val="000000"/>
          <w:sz w:val="28"/>
          <w:szCs w:val="28"/>
        </w:rPr>
        <w:t xml:space="preserve">У</w:t>
      </w:r>
      <w:r>
        <w:rPr>
          <w:color w:val="000000"/>
          <w:sz w:val="28"/>
          <w:szCs w:val="28"/>
        </w:rPr>
        <w:t xml:space="preserve"> 2025</w:t>
      </w:r>
      <w:r>
        <w:rPr>
          <w:color w:val="000000"/>
          <w:sz w:val="28"/>
          <w:szCs w:val="28"/>
        </w:rPr>
        <w:t xml:space="preserve"> році активно розвивались роздрібні мережі сучасних підприємств торгівлі таких компаній, як ТО</w:t>
      </w:r>
      <w:r>
        <w:rPr>
          <w:color w:val="000000"/>
          <w:sz w:val="28"/>
          <w:szCs w:val="28"/>
        </w:rPr>
        <w:t xml:space="preserve">В «АТБ-маркет», ТОВ «Посад», Супермаркет «Чудо-Маркет», «Аврора», мережі магазинів «Одягу з Європи» та інших, що підтверджує основну тенденцію розвитку споживчого ринку громади— збільшення обсягів продажу товарів через великі сучасні магазини-супермаркети.</w:t>
      </w:r>
      <w:r/>
    </w:p>
    <w:p>
      <w:pPr>
        <w:pStyle w:val="685"/>
        <w:pBdr/>
        <w:spacing w:after="0" w:afterAutospacing="0" w:before="0" w:beforeAutospacing="0" w:line="240" w:lineRule="auto"/>
        <w:ind w:firstLine="567"/>
        <w:jc w:val="both"/>
        <w:rPr/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громаді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створюються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сприятливі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умови</w:t>
      </w:r>
      <w:r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 xml:space="preserve">діяльності</w:t>
      </w:r>
      <w:r>
        <w:rPr>
          <w:color w:val="000000"/>
          <w:sz w:val="28"/>
          <w:szCs w:val="28"/>
        </w:rPr>
        <w:t xml:space="preserve"> малого та </w:t>
      </w:r>
      <w:r>
        <w:rPr>
          <w:color w:val="000000"/>
          <w:sz w:val="28"/>
          <w:szCs w:val="28"/>
        </w:rPr>
        <w:t xml:space="preserve">середнього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бізнесу</w:t>
      </w:r>
      <w:r>
        <w:rPr>
          <w:color w:val="000000"/>
          <w:sz w:val="28"/>
          <w:szCs w:val="28"/>
        </w:rPr>
        <w:t xml:space="preserve">. Так</w:t>
      </w:r>
      <w:r>
        <w:rPr>
          <w:color w:val="000000"/>
          <w:sz w:val="28"/>
          <w:szCs w:val="28"/>
          <w:lang w:val="uk-UA"/>
        </w:rPr>
        <w:t xml:space="preserve"> станом на 01.12.2025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</w:t>
      </w:r>
      <w:r>
        <w:rPr>
          <w:color w:val="000000"/>
          <w:sz w:val="28"/>
          <w:szCs w:val="28"/>
          <w:lang w:val="uk-UA"/>
        </w:rPr>
        <w:t xml:space="preserve">ку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кількість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окремо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розташованих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магазинів</w:t>
      </w:r>
      <w:r>
        <w:rPr>
          <w:color w:val="000000"/>
          <w:sz w:val="28"/>
          <w:szCs w:val="28"/>
        </w:rPr>
        <w:t xml:space="preserve"> склада</w:t>
      </w:r>
      <w:r>
        <w:rPr>
          <w:color w:val="000000"/>
          <w:sz w:val="28"/>
          <w:szCs w:val="28"/>
          <w:lang w:val="uk-UA"/>
        </w:rPr>
        <w:t xml:space="preserve">ла</w:t>
      </w:r>
      <w:r>
        <w:rPr>
          <w:color w:val="000000"/>
          <w:sz w:val="28"/>
          <w:szCs w:val="28"/>
        </w:rPr>
        <w:t xml:space="preserve"> 212 </w:t>
      </w:r>
      <w:r>
        <w:rPr>
          <w:color w:val="000000"/>
          <w:sz w:val="28"/>
          <w:szCs w:val="28"/>
        </w:rPr>
        <w:t xml:space="preserve">одиниць</w:t>
      </w:r>
      <w:r>
        <w:rPr>
          <w:color w:val="000000"/>
          <w:sz w:val="28"/>
          <w:szCs w:val="28"/>
        </w:rPr>
        <w:t xml:space="preserve"> (64 – </w:t>
      </w:r>
      <w:r>
        <w:rPr>
          <w:color w:val="000000"/>
          <w:sz w:val="28"/>
          <w:szCs w:val="28"/>
        </w:rPr>
        <w:t xml:space="preserve">продовольчі</w:t>
      </w:r>
      <w:r>
        <w:rPr>
          <w:color w:val="000000"/>
          <w:sz w:val="28"/>
          <w:szCs w:val="28"/>
        </w:rPr>
        <w:t xml:space="preserve">, 123 – </w:t>
      </w:r>
      <w:r>
        <w:rPr>
          <w:color w:val="000000"/>
          <w:sz w:val="28"/>
          <w:szCs w:val="28"/>
        </w:rPr>
        <w:t xml:space="preserve">непродовольчі</w:t>
      </w:r>
      <w:r>
        <w:rPr>
          <w:color w:val="000000"/>
          <w:sz w:val="28"/>
          <w:szCs w:val="28"/>
        </w:rPr>
        <w:t xml:space="preserve">, 25 - </w:t>
      </w:r>
      <w:r>
        <w:rPr>
          <w:color w:val="000000"/>
          <w:sz w:val="28"/>
          <w:szCs w:val="28"/>
        </w:rPr>
        <w:t xml:space="preserve">змішані</w:t>
      </w:r>
      <w:r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підприємств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громадського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харчування</w:t>
      </w:r>
      <w:r>
        <w:rPr>
          <w:color w:val="000000"/>
          <w:sz w:val="28"/>
          <w:szCs w:val="28"/>
        </w:rPr>
        <w:t xml:space="preserve"> – 21.</w:t>
      </w:r>
      <w:r/>
    </w:p>
    <w:p>
      <w:pPr>
        <w:pStyle w:val="685"/>
        <w:pBdr/>
        <w:spacing w:after="0" w:afterAutospacing="0" w:before="0" w:beforeAutospacing="0" w:line="240" w:lineRule="auto"/>
        <w:ind w:firstLine="567"/>
        <w:jc w:val="both"/>
        <w:rPr/>
      </w:pPr>
      <w:r>
        <w:rPr>
          <w:color w:val="000000"/>
          <w:sz w:val="28"/>
          <w:szCs w:val="28"/>
        </w:rPr>
        <w:t xml:space="preserve">Мережа </w:t>
      </w:r>
      <w:r>
        <w:rPr>
          <w:color w:val="000000"/>
          <w:sz w:val="28"/>
          <w:szCs w:val="28"/>
        </w:rPr>
        <w:t xml:space="preserve">підприємств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побуту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складає</w:t>
      </w:r>
      <w:r>
        <w:rPr>
          <w:color w:val="000000"/>
          <w:sz w:val="28"/>
          <w:szCs w:val="28"/>
        </w:rPr>
        <w:t xml:space="preserve"> 37 </w:t>
      </w:r>
      <w:r>
        <w:rPr>
          <w:color w:val="000000"/>
          <w:sz w:val="28"/>
          <w:szCs w:val="28"/>
        </w:rPr>
        <w:t xml:space="preserve">одиниць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що</w:t>
      </w:r>
      <w:r>
        <w:rPr>
          <w:color w:val="000000"/>
          <w:sz w:val="28"/>
          <w:szCs w:val="28"/>
        </w:rPr>
        <w:t xml:space="preserve"> не </w:t>
      </w:r>
      <w:r>
        <w:rPr>
          <w:color w:val="000000"/>
          <w:sz w:val="28"/>
          <w:szCs w:val="28"/>
        </w:rPr>
        <w:t xml:space="preserve">дає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можливості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мешканцям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всіх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населених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пунктів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громади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одержувати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послуги</w:t>
      </w:r>
      <w:r>
        <w:rPr>
          <w:color w:val="000000"/>
          <w:sz w:val="28"/>
          <w:szCs w:val="28"/>
        </w:rPr>
        <w:t xml:space="preserve"> за </w:t>
      </w:r>
      <w:r>
        <w:rPr>
          <w:color w:val="000000"/>
          <w:sz w:val="28"/>
          <w:szCs w:val="28"/>
        </w:rPr>
        <w:t xml:space="preserve">місцем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проживання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бо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основна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частина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об’єктів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знаходиться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місті</w:t>
      </w:r>
      <w:r>
        <w:rPr>
          <w:color w:val="000000"/>
          <w:sz w:val="28"/>
          <w:szCs w:val="28"/>
        </w:rPr>
        <w:t xml:space="preserve">. </w:t>
      </w:r>
      <w:r/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  <w:t xml:space="preserve">Економічне зростання промисловості на 3-5% у 2027 році формуватиметься, головним чином, за рахунок внутрішнього попиту, з одночасним поступовим відновлюванням більшої активності підприємств.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Style w:val="695"/>
        <w:pBdr/>
        <w:spacing w:after="0" w:afterAutospacing="0" w:before="0" w:beforeAutospacing="0"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урахуванням зазначених тенденцій та припущень щодо строків завершення повномасштабної збройної агресії Російської Федерації проти України і динаміки </w:t>
      </w:r>
      <w:r>
        <w:rPr>
          <w:sz w:val="28"/>
          <w:szCs w:val="28"/>
          <w:lang w:val="uk-UA"/>
        </w:rPr>
        <w:t xml:space="preserve">безпекової</w:t>
      </w:r>
      <w:r>
        <w:rPr>
          <w:sz w:val="28"/>
          <w:szCs w:val="28"/>
          <w:lang w:val="uk-UA"/>
        </w:rPr>
        <w:t xml:space="preserve"> ситуації прогнозні макроекономічні показники економічного і соціального розвитку України передбачають два сценарії розвитку економіки.</w:t>
      </w:r>
      <w:r>
        <w:rPr>
          <w:sz w:val="28"/>
          <w:szCs w:val="28"/>
          <w:lang w:val="uk-UA"/>
        </w:rPr>
      </w:r>
    </w:p>
    <w:p>
      <w:pPr>
        <w:pStyle w:val="695"/>
        <w:pBdr/>
        <w:spacing w:after="0" w:afterAutospacing="0" w:before="0" w:beforeAutospacing="0" w:line="240" w:lineRule="auto"/>
        <w:ind w:firstLine="448"/>
        <w:rPr>
          <w:sz w:val="28"/>
          <w:szCs w:val="28"/>
          <w:lang w:val="uk-UA"/>
        </w:rPr>
      </w:pPr>
      <w:r/>
      <w:bookmarkStart w:id="1" w:name="n58"/>
      <w:r/>
      <w:bookmarkEnd w:id="1"/>
      <w:r>
        <w:rPr>
          <w:sz w:val="28"/>
          <w:szCs w:val="28"/>
          <w:lang w:val="uk-UA"/>
        </w:rPr>
        <w:t xml:space="preserve">Сценарій 1 відображає найбільш імовірну траєкторію розвитку економіки за умови суттєвого покращення </w:t>
      </w:r>
      <w:r>
        <w:rPr>
          <w:sz w:val="28"/>
          <w:szCs w:val="28"/>
          <w:lang w:val="uk-UA"/>
        </w:rPr>
        <w:t xml:space="preserve">безпекової</w:t>
      </w:r>
      <w:r>
        <w:rPr>
          <w:sz w:val="28"/>
          <w:szCs w:val="28"/>
          <w:lang w:val="uk-UA"/>
        </w:rPr>
        <w:t xml:space="preserve"> ситуації починаючи з 2027 року і використовується для розроблення показників.</w:t>
      </w:r>
      <w:bookmarkStart w:id="2" w:name="n59"/>
      <w:r/>
      <w:bookmarkEnd w:id="2"/>
      <w:r/>
      <w:r>
        <w:rPr>
          <w:sz w:val="28"/>
          <w:szCs w:val="28"/>
          <w:lang w:val="uk-UA"/>
        </w:rPr>
      </w:r>
    </w:p>
    <w:p>
      <w:pPr>
        <w:pStyle w:val="695"/>
        <w:pBdr/>
        <w:spacing w:after="0" w:afterAutospacing="0" w:before="0" w:beforeAutospacing="0" w:line="240" w:lineRule="auto"/>
        <w:ind w:firstLine="44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Сценарій</w:t>
      </w:r>
      <w:r>
        <w:rPr>
          <w:sz w:val="28"/>
          <w:szCs w:val="28"/>
          <w:lang w:val="ru-RU"/>
        </w:rPr>
        <w:t xml:space="preserve"> 2 </w:t>
      </w:r>
      <w:r>
        <w:rPr>
          <w:sz w:val="28"/>
          <w:szCs w:val="28"/>
          <w:lang w:val="ru-RU"/>
        </w:rPr>
        <w:t xml:space="preserve">враховує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більш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тривалу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повномасштабну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збройну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агресію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Російської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Федерації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України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що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може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стримувати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економічну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активність</w:t>
      </w:r>
      <w:r>
        <w:rPr>
          <w:sz w:val="28"/>
          <w:szCs w:val="28"/>
          <w:lang w:val="ru-RU"/>
        </w:rPr>
        <w:t xml:space="preserve"> та </w:t>
      </w:r>
      <w:r>
        <w:rPr>
          <w:sz w:val="28"/>
          <w:szCs w:val="28"/>
          <w:lang w:val="ru-RU"/>
        </w:rPr>
        <w:t xml:space="preserve">зумовлювати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більш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повільне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відновлення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економіки</w:t>
      </w:r>
      <w:r>
        <w:rPr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/>
        </w:rPr>
      </w:r>
    </w:p>
    <w:p>
      <w:pPr>
        <w:pStyle w:val="687"/>
        <w:pBdr/>
        <w:spacing w:after="0" w:afterAutospacing="0" w:before="0" w:beforeAutospacing="0" w:line="240" w:lineRule="auto"/>
        <w:ind/>
        <w:jc w:val="center"/>
        <w:rPr>
          <w:sz w:val="28"/>
          <w:szCs w:val="28"/>
        </w:rPr>
      </w:pPr>
      <w:r/>
      <w:bookmarkStart w:id="3" w:name="n61"/>
      <w:r/>
      <w:bookmarkEnd w:id="3"/>
      <w:r>
        <w:rPr>
          <w:rStyle w:val="700"/>
          <w:sz w:val="28"/>
          <w:szCs w:val="28"/>
        </w:rPr>
        <w:t xml:space="preserve">Основні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прогнозні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макропоказники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економічного</w:t>
      </w:r>
      <w:r>
        <w:rPr>
          <w:rStyle w:val="700"/>
          <w:sz w:val="28"/>
          <w:szCs w:val="28"/>
        </w:rPr>
        <w:t xml:space="preserve"> і </w:t>
      </w:r>
      <w:r>
        <w:rPr>
          <w:rStyle w:val="700"/>
          <w:sz w:val="28"/>
          <w:szCs w:val="28"/>
        </w:rPr>
        <w:t xml:space="preserve">соціального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розвитку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України</w:t>
      </w:r>
      <w:r>
        <w:rPr>
          <w:rStyle w:val="700"/>
          <w:sz w:val="28"/>
          <w:szCs w:val="28"/>
        </w:rPr>
        <w:t xml:space="preserve"> та </w:t>
      </w:r>
      <w:r>
        <w:rPr>
          <w:rStyle w:val="700"/>
          <w:sz w:val="28"/>
          <w:szCs w:val="28"/>
        </w:rPr>
        <w:t xml:space="preserve">окремі</w:t>
      </w:r>
      <w:r>
        <w:rPr>
          <w:rStyle w:val="700"/>
          <w:sz w:val="28"/>
          <w:szCs w:val="28"/>
        </w:rPr>
        <w:t xml:space="preserve"> </w:t>
      </w:r>
      <w:r>
        <w:rPr>
          <w:rStyle w:val="700"/>
          <w:sz w:val="28"/>
          <w:szCs w:val="28"/>
        </w:rPr>
        <w:t xml:space="preserve">припущення</w:t>
      </w:r>
      <w:r>
        <w:rPr>
          <w:rStyle w:val="700"/>
          <w:sz w:val="28"/>
          <w:szCs w:val="28"/>
        </w:rPr>
        <w:t xml:space="preserve"> на 2025-2029 роки</w:t>
      </w:r>
      <w:r>
        <w:rPr>
          <w:sz w:val="28"/>
          <w:szCs w:val="28"/>
        </w:rPr>
      </w:r>
    </w:p>
    <w:tbl>
      <w:tblPr>
        <w:tblStyle w:val="697"/>
        <w:jc w:val="center"/>
        <w:tblW w:w="5000" w:type="pct"/>
        <w:tblCellMar>
          <w:left w:w="15" w:type="dxa"/>
          <w:top w:w="15" w:type="dxa"/>
          <w:right w:w="15" w:type="dxa"/>
          <w:bottom w:w="15" w:type="dxa"/>
        </w:tblCellMar>
        <w:tblBorders/>
        <w:tblLook w:val="05E0" w:firstRow="1" w:lastRow="1" w:firstColumn="1" w:lastColumn="1" w:noHBand="0" w:noVBand="1"/>
      </w:tblPr>
      <w:tblGrid>
        <w:gridCol w:w="3699"/>
        <w:gridCol w:w="1166"/>
        <w:gridCol w:w="1558"/>
        <w:gridCol w:w="1072"/>
        <w:gridCol w:w="1072"/>
        <w:gridCol w:w="1072"/>
      </w:tblGrid>
      <w:tr>
        <w:trPr>
          <w:jc w:val="center"/>
        </w:trPr>
        <w:tc>
          <w:tcPr>
            <w:tcBorders>
              <w:top w:val="single" w:color="000000" w:sz="6" w:space="0"/>
              <w:right w:val="single" w:color="000000" w:sz="6" w:space="0"/>
            </w:tcBorders>
            <w:tcMar>
              <w:left w:w="20" w:type="dxa"/>
              <w:top w:w="22" w:type="dxa"/>
              <w:right w:w="22" w:type="dxa"/>
              <w:bottom w:w="22" w:type="dxa"/>
            </w:tcMar>
            <w:tcW w:w="1918" w:type="pct"/>
            <w:vMerge w:val="restar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bookmarkStart w:id="4" w:name="n62"/>
            <w:r/>
            <w:bookmarkEnd w:id="4"/>
            <w:r>
              <w:t xml:space="preserve">Найменування</w:t>
            </w:r>
            <w:r>
              <w:t xml:space="preserve"> </w:t>
            </w:r>
            <w:r>
              <w:t xml:space="preserve">показника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2025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2026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2027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2028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22" w:type="dxa"/>
              <w:top w:w="22" w:type="dxa"/>
              <w:right w:w="20" w:type="dxa"/>
              <w:bottom w:w="22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2029 </w:t>
            </w:r>
            <w:r>
              <w:t xml:space="preserve">рік</w:t>
            </w:r>
            <w:r/>
          </w:p>
        </w:tc>
      </w:tr>
      <w:tr>
        <w:trPr>
          <w:jc w:val="center"/>
          <w:trHeight w:val="255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</w:t>
            </w:r>
            <w:r>
              <w:t xml:space="preserve">звіт</w:t>
            </w:r>
            <w:r>
              <w:t xml:space="preserve">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</w:t>
            </w:r>
            <w:r>
              <w:t xml:space="preserve">очікування</w:t>
            </w:r>
            <w:r>
              <w:t xml:space="preserve">)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22" w:type="dxa"/>
              <w:top w:w="22" w:type="dxa"/>
              <w:right w:w="20" w:type="dxa"/>
              <w:bottom w:w="22" w:type="dxa"/>
            </w:tcMar>
            <w:tcW w:w="166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(прогноз/</w:t>
            </w:r>
            <w:r>
              <w:t xml:space="preserve">сценарій</w:t>
            </w:r>
            <w:r>
              <w:t xml:space="preserve"> 1)</w:t>
            </w:r>
            <w:r/>
          </w:p>
        </w:tc>
      </w:tr>
      <w:tr>
        <w:trPr>
          <w:jc w:val="center"/>
        </w:trPr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Валовий</w:t>
            </w:r>
            <w:r>
              <w:t xml:space="preserve"> </w:t>
            </w:r>
            <w:r>
              <w:t xml:space="preserve">внутрішній</w:t>
            </w:r>
            <w:r>
              <w:t xml:space="preserve"> </w:t>
            </w:r>
            <w:r>
              <w:t xml:space="preserve">продукт</w:t>
            </w:r>
            <w:r>
              <w:t xml:space="preserve">: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номінальний</w:t>
            </w:r>
            <w:r>
              <w:t xml:space="preserve">, </w:t>
            </w:r>
            <w:r>
              <w:t xml:space="preserve">млрд</w:t>
            </w:r>
            <w:r>
              <w:t xml:space="preserve">. </w:t>
            </w:r>
            <w:r>
              <w:t xml:space="preserve">гривень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8 931,2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10 105,3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11 530,6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13 130,8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14 952,3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реальна </w:t>
            </w:r>
            <w:r>
              <w:rPr>
                <w:lang w:val="ru-RU"/>
              </w:rPr>
              <w:t xml:space="preserve">зміна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1,6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6,7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Індекс</w:t>
            </w:r>
            <w:r>
              <w:t xml:space="preserve"> </w:t>
            </w:r>
            <w:r>
              <w:t xml:space="preserve">споживчих</w:t>
            </w:r>
            <w:r>
              <w:t xml:space="preserve"> </w:t>
            </w:r>
            <w:r>
              <w:t xml:space="preserve">цін</w:t>
            </w:r>
            <w:r>
              <w:t xml:space="preserve">: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у </w:t>
            </w:r>
            <w:r>
              <w:rPr>
                <w:lang w:val="ru-RU"/>
              </w:rPr>
              <w:t xml:space="preserve">середньому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112,7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109,3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107,5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105,9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грудень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грудня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109,2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108,9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106,9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105,1</w:t>
            </w:r>
            <w:r/>
          </w:p>
        </w:tc>
      </w:tr>
      <w:tr>
        <w:trPr>
          <w:jc w:val="center"/>
          <w:trHeight w:val="629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Індекс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цін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виробників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промислової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продукції</w:t>
            </w:r>
            <w:r>
              <w:rPr>
                <w:lang w:val="ru-RU"/>
              </w:rPr>
              <w:t xml:space="preserve">: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грудень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грудня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108,2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112,6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110,3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109,1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107,4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uk-UA"/>
              </w:rPr>
            </w:pPr>
            <w:r>
              <w:rPr>
                <w:lang w:val="uk-UA"/>
              </w:rPr>
              <w:t xml:space="preserve">Кількість зайнятих економічною діяльністю у віці 15-70 років, млн. осіб</w:t>
            </w:r>
            <w:r>
              <w:rPr>
                <w:lang w:val="uk-UA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13,2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13,4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Рівень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безробіття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населення</w:t>
            </w:r>
            <w:r>
              <w:rPr>
                <w:lang w:val="ru-RU"/>
              </w:rPr>
              <w:t xml:space="preserve"> у </w:t>
            </w:r>
            <w:r>
              <w:rPr>
                <w:lang w:val="ru-RU"/>
              </w:rPr>
              <w:t xml:space="preserve">віці</w:t>
            </w:r>
            <w:r>
              <w:rPr>
                <w:lang w:val="ru-RU"/>
              </w:rPr>
              <w:t xml:space="preserve"> 15-70 </w:t>
            </w:r>
            <w:r>
              <w:rPr>
                <w:lang w:val="ru-RU"/>
              </w:rPr>
              <w:t xml:space="preserve">років</w:t>
            </w:r>
            <w:r>
              <w:rPr>
                <w:lang w:val="ru-RU"/>
              </w:rPr>
              <w:t xml:space="preserve"> за </w:t>
            </w:r>
            <w:r>
              <w:rPr>
                <w:lang w:val="ru-RU"/>
              </w:rPr>
              <w:t xml:space="preserve">методологією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Міжнародної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організації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праці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робочої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відповідного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віку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12,6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12,7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Сальдо </w:t>
            </w:r>
            <w:r>
              <w:rPr>
                <w:lang w:val="ru-RU"/>
              </w:rPr>
              <w:t xml:space="preserve">торговельного</w:t>
            </w:r>
            <w:r>
              <w:rPr>
                <w:lang w:val="ru-RU"/>
              </w:rPr>
              <w:t xml:space="preserve"> балансу, </w:t>
            </w:r>
            <w:r>
              <w:rPr>
                <w:lang w:val="ru-RU"/>
              </w:rPr>
              <w:t xml:space="preserve">визначене</w:t>
            </w:r>
            <w:r>
              <w:rPr>
                <w:lang w:val="ru-RU"/>
              </w:rPr>
              <w:t xml:space="preserve"> за </w:t>
            </w:r>
            <w:r>
              <w:rPr>
                <w:lang w:val="ru-RU"/>
              </w:rPr>
              <w:t xml:space="preserve">методологією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платіжного</w:t>
            </w:r>
            <w:r>
              <w:rPr>
                <w:lang w:val="ru-RU"/>
              </w:rPr>
              <w:t xml:space="preserve"> балансу, млн. </w:t>
            </w:r>
            <w:r>
              <w:rPr>
                <w:lang w:val="ru-RU"/>
              </w:rPr>
              <w:t xml:space="preserve">доларів</w:t>
            </w:r>
            <w:r>
              <w:rPr>
                <w:lang w:val="ru-RU"/>
              </w:rPr>
              <w:t xml:space="preserve"> США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- 59 249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- 69 187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- 70 908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- 74 279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- 73 652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Експорт</w:t>
            </w:r>
            <w:r>
              <w:t xml:space="preserve"> </w:t>
            </w:r>
            <w:r>
              <w:t xml:space="preserve">товарів</w:t>
            </w:r>
            <w:r>
              <w:t xml:space="preserve"> </w:t>
            </w:r>
            <w:r>
              <w:t xml:space="preserve">та</w:t>
            </w:r>
            <w:r>
              <w:t xml:space="preserve"> </w:t>
            </w:r>
            <w:r>
              <w:t xml:space="preserve">послуг</w:t>
            </w:r>
            <w:r>
              <w:t xml:space="preserve">: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млн</w:t>
            </w:r>
            <w:r>
              <w:t xml:space="preserve">. </w:t>
            </w:r>
            <w:r>
              <w:t xml:space="preserve">доларів</w:t>
            </w:r>
            <w:r>
              <w:t xml:space="preserve"> США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54 103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55 802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60 434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67 194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77 460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зміна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- 4,4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8,3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15,3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Імпорт</w:t>
            </w:r>
            <w:r>
              <w:t xml:space="preserve"> </w:t>
            </w:r>
            <w:r>
              <w:t xml:space="preserve">товарів</w:t>
            </w:r>
            <w:r>
              <w:t xml:space="preserve"> </w:t>
            </w:r>
            <w:r>
              <w:t xml:space="preserve">та</w:t>
            </w:r>
            <w:r>
              <w:t xml:space="preserve"> </w:t>
            </w:r>
            <w:r>
              <w:t xml:space="preserve">послуг</w:t>
            </w:r>
            <w:r>
              <w:t xml:space="preserve">: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млн</w:t>
            </w:r>
            <w:r>
              <w:t xml:space="preserve">. </w:t>
            </w:r>
            <w:r>
              <w:t xml:space="preserve">доларів</w:t>
            </w:r>
            <w:r>
              <w:t xml:space="preserve"> США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113 352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124 989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131 342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141 473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151 112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зміна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відсотків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попереднього</w:t>
            </w:r>
            <w:r>
              <w:rPr>
                <w:lang w:val="ru-RU"/>
              </w:rPr>
              <w:t xml:space="preserve"> року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16,8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10,3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7,7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6,8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Припущення</w:t>
            </w:r>
            <w:r>
              <w:t xml:space="preserve"> </w:t>
            </w:r>
            <w:r>
              <w:t xml:space="preserve">прогнозу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>
                <w:lang w:val="ru-RU"/>
              </w:rPr>
            </w:pPr>
            <w:r>
              <w:rPr>
                <w:lang w:val="ru-RU"/>
              </w:rPr>
              <w:t xml:space="preserve">Обмінний</w:t>
            </w:r>
            <w:r>
              <w:rPr>
                <w:lang w:val="ru-RU"/>
              </w:rPr>
              <w:t xml:space="preserve"> курс </w:t>
            </w:r>
            <w:r>
              <w:rPr>
                <w:lang w:val="ru-RU"/>
              </w:rPr>
              <w:t xml:space="preserve">гривні</w:t>
            </w:r>
            <w:r>
              <w:rPr>
                <w:lang w:val="ru-RU"/>
              </w:rPr>
              <w:t xml:space="preserve"> до </w:t>
            </w:r>
            <w:r>
              <w:rPr>
                <w:lang w:val="ru-RU"/>
              </w:rPr>
              <w:t xml:space="preserve">долара</w:t>
            </w:r>
            <w:r>
              <w:rPr>
                <w:lang w:val="ru-RU"/>
              </w:rPr>
              <w:t xml:space="preserve"> США, </w:t>
            </w:r>
            <w:r>
              <w:rPr>
                <w:lang w:val="ru-RU"/>
              </w:rPr>
              <w:t xml:space="preserve">гривень</w:t>
            </w:r>
            <w:r>
              <w:rPr>
                <w:lang w:val="ru-RU"/>
              </w:rPr>
              <w:t xml:space="preserve"> за 1 </w:t>
            </w:r>
            <w:r>
              <w:rPr>
                <w:lang w:val="ru-RU"/>
              </w:rPr>
              <w:t xml:space="preserve">долар</w:t>
            </w:r>
            <w:r>
              <w:rPr>
                <w:lang w:val="ru-RU"/>
              </w:rPr>
              <w:t xml:space="preserve"> США:</w:t>
            </w:r>
            <w:r>
              <w:rPr>
                <w:lang w:val="ru-RU"/>
              </w:rPr>
            </w:r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у </w:t>
            </w:r>
            <w:r>
              <w:t xml:space="preserve">середньому</w:t>
            </w:r>
            <w:r>
              <w:t xml:space="preserve"> </w:t>
            </w:r>
            <w:r>
              <w:t xml:space="preserve">за</w:t>
            </w:r>
            <w:r>
              <w:t xml:space="preserve"> </w:t>
            </w:r>
            <w:r>
              <w:t xml:space="preserve">період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41,7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44,4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47,1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49,1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50,7</w:t>
            </w:r>
            <w:r/>
          </w:p>
        </w:tc>
      </w:tr>
      <w:tr>
        <w:trPr>
          <w:jc w:val="center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18" w:type="pct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на</w:t>
            </w:r>
            <w:r>
              <w:t xml:space="preserve"> </w:t>
            </w:r>
            <w:r>
              <w:t xml:space="preserve">кінець</w:t>
            </w:r>
            <w:r>
              <w:t xml:space="preserve"> </w:t>
            </w:r>
            <w:r>
              <w:t xml:space="preserve">періоду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605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42,4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808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45,8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48,3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50,1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556" w:type="pc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51,5</w:t>
            </w:r>
            <w:r/>
          </w:p>
          <w:p>
            <w:pPr>
              <w:pStyle w:val="687"/>
              <w:pBdr/>
              <w:spacing w:after="150" w:before="150"/>
              <w:ind/>
              <w:rPr/>
            </w:pPr>
            <w:r/>
            <w:r/>
          </w:p>
        </w:tc>
      </w:tr>
    </w:tbl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Згідно вищевказаної таблиці в прогнозі враховано: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З</w:t>
      </w:r>
      <w:r>
        <w:rPr>
          <w:rFonts w:ascii="Times New Roman" w:hAnsi="Times New Roman" w:cs="Times New Roman"/>
          <w:sz w:val="28"/>
          <w:szCs w:val="28"/>
        </w:rPr>
        <w:t xml:space="preserve">ростання валов</w:t>
      </w:r>
      <w:r>
        <w:rPr>
          <w:rFonts w:ascii="Times New Roman" w:hAnsi="Times New Roman" w:cs="Times New Roman"/>
          <w:sz w:val="28"/>
          <w:szCs w:val="28"/>
        </w:rPr>
        <w:t xml:space="preserve">ого внутрішнього продукту у 2027 році – 4,5%, у 2028</w:t>
      </w:r>
      <w:r>
        <w:rPr>
          <w:rFonts w:ascii="Times New Roman" w:hAnsi="Times New Roman" w:cs="Times New Roman"/>
          <w:sz w:val="28"/>
          <w:szCs w:val="28"/>
        </w:rPr>
        <w:t xml:space="preserve"> році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,3</w:t>
      </w:r>
      <w:r>
        <w:rPr>
          <w:rFonts w:ascii="Times New Roman" w:hAnsi="Times New Roman" w:cs="Times New Roman"/>
          <w:sz w:val="28"/>
          <w:szCs w:val="28"/>
        </w:rPr>
        <w:t xml:space="preserve">%, у 2029 році -6,7</w:t>
      </w:r>
      <w:r>
        <w:rPr>
          <w:rFonts w:ascii="Times New Roman" w:hAnsi="Times New Roman" w:cs="Times New Roman"/>
          <w:sz w:val="28"/>
          <w:szCs w:val="28"/>
        </w:rPr>
        <w:t xml:space="preserve">% ; - номінальний в</w:t>
      </w:r>
      <w:r>
        <w:rPr>
          <w:rFonts w:ascii="Times New Roman" w:hAnsi="Times New Roman" w:cs="Times New Roman"/>
          <w:sz w:val="28"/>
          <w:szCs w:val="28"/>
        </w:rPr>
        <w:t xml:space="preserve">аловий внутрішній продукт у 2027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році – 11530,6 млрд. грн, у 2028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році – 13130,8 млрд. грн, у 2029 році – 14952,3</w:t>
      </w:r>
      <w:r>
        <w:rPr>
          <w:rFonts w:ascii="Times New Roman" w:hAnsi="Times New Roman" w:cs="Times New Roman"/>
          <w:sz w:val="28"/>
          <w:szCs w:val="28"/>
        </w:rPr>
        <w:t xml:space="preserve"> млрд. грн;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І</w:t>
      </w:r>
      <w:r>
        <w:rPr>
          <w:rFonts w:ascii="Times New Roman" w:hAnsi="Times New Roman" w:cs="Times New Roman"/>
          <w:sz w:val="28"/>
          <w:szCs w:val="28"/>
        </w:rPr>
        <w:t xml:space="preserve">ндекс споживчих цін </w:t>
      </w:r>
      <w:r>
        <w:rPr>
          <w:rFonts w:ascii="Times New Roman" w:hAnsi="Times New Roman" w:cs="Times New Roman"/>
          <w:sz w:val="28"/>
          <w:szCs w:val="28"/>
        </w:rPr>
        <w:t xml:space="preserve">(у середньому до</w:t>
      </w:r>
      <w:r>
        <w:rPr>
          <w:rFonts w:ascii="Times New Roman" w:hAnsi="Times New Roman" w:cs="Times New Roman"/>
          <w:sz w:val="28"/>
          <w:szCs w:val="28"/>
        </w:rPr>
        <w:t xml:space="preserve"> попе</w:t>
      </w:r>
      <w:r>
        <w:rPr>
          <w:rFonts w:ascii="Times New Roman" w:hAnsi="Times New Roman" w:cs="Times New Roman"/>
          <w:sz w:val="28"/>
          <w:szCs w:val="28"/>
        </w:rPr>
        <w:t xml:space="preserve">реднього року) становитиме 109,3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 у 202</w:t>
      </w:r>
      <w:r>
        <w:rPr>
          <w:rFonts w:ascii="Times New Roman" w:hAnsi="Times New Roman" w:cs="Times New Roman"/>
          <w:sz w:val="28"/>
          <w:szCs w:val="28"/>
        </w:rPr>
        <w:t xml:space="preserve">7 році , 107,5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 у 2028</w:t>
      </w:r>
      <w:r>
        <w:rPr>
          <w:rFonts w:ascii="Times New Roman" w:hAnsi="Times New Roman" w:cs="Times New Roman"/>
          <w:sz w:val="28"/>
          <w:szCs w:val="28"/>
        </w:rPr>
        <w:t xml:space="preserve"> році, </w:t>
      </w:r>
      <w:r>
        <w:rPr>
          <w:rFonts w:ascii="Times New Roman" w:hAnsi="Times New Roman" w:cs="Times New Roman"/>
          <w:sz w:val="28"/>
          <w:szCs w:val="28"/>
        </w:rPr>
        <w:t xml:space="preserve">105,9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 у 2029 році.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І</w:t>
      </w:r>
      <w:r>
        <w:rPr>
          <w:rFonts w:ascii="Times New Roman" w:hAnsi="Times New Roman" w:cs="Times New Roman"/>
          <w:sz w:val="28"/>
          <w:szCs w:val="28"/>
        </w:rPr>
        <w:t xml:space="preserve">ндекс цін виробників (грудень до грудня попереднього року) у 202</w:t>
      </w:r>
      <w:r>
        <w:rPr>
          <w:rFonts w:ascii="Times New Roman" w:hAnsi="Times New Roman" w:cs="Times New Roman"/>
          <w:sz w:val="28"/>
          <w:szCs w:val="28"/>
        </w:rPr>
        <w:t xml:space="preserve">7 році 110,3%, у 2028</w:t>
      </w:r>
      <w:r>
        <w:rPr>
          <w:rFonts w:ascii="Times New Roman" w:hAnsi="Times New Roman" w:cs="Times New Roman"/>
          <w:sz w:val="28"/>
          <w:szCs w:val="28"/>
        </w:rPr>
        <w:t xml:space="preserve"> роц</w:t>
      </w:r>
      <w:r>
        <w:rPr>
          <w:rFonts w:ascii="Times New Roman" w:hAnsi="Times New Roman" w:cs="Times New Roman"/>
          <w:sz w:val="28"/>
          <w:szCs w:val="28"/>
        </w:rPr>
        <w:t xml:space="preserve">і – 109,1 %; у 2028 році 107,4%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687"/>
        <w:pBdr/>
        <w:spacing w:after="150" w:before="150"/>
        <w:ind w:left="1068"/>
        <w:rPr>
          <w:sz w:val="28"/>
          <w:szCs w:val="28"/>
        </w:rPr>
      </w:pPr>
      <w:r>
        <w:rPr>
          <w:rStyle w:val="696"/>
          <w:lang w:val="uk-UA"/>
        </w:rPr>
        <w:t xml:space="preserve">         </w:t>
      </w:r>
      <w:r>
        <w:rPr>
          <w:rStyle w:val="696"/>
          <w:sz w:val="28"/>
          <w:szCs w:val="28"/>
          <w:lang w:val="uk-UA"/>
        </w:rPr>
        <w:t xml:space="preserve">          </w:t>
      </w:r>
      <w:r>
        <w:rPr>
          <w:rStyle w:val="696"/>
          <w:sz w:val="28"/>
          <w:szCs w:val="28"/>
        </w:rPr>
        <w:t xml:space="preserve">Показники</w:t>
      </w:r>
      <w:r>
        <w:rPr>
          <w:rStyle w:val="696"/>
          <w:sz w:val="28"/>
          <w:szCs w:val="28"/>
        </w:rPr>
        <w:t xml:space="preserve"> державного бюджету на 2025-2029 роки</w:t>
      </w:r>
      <w:r>
        <w:rPr>
          <w:sz w:val="28"/>
          <w:szCs w:val="28"/>
        </w:rPr>
      </w:r>
    </w:p>
    <w:p>
      <w:pPr>
        <w:pStyle w:val="699"/>
        <w:pBdr/>
        <w:spacing w:after="150" w:before="150"/>
        <w:ind w:left="708"/>
        <w:rPr>
          <w:lang w:val="ru-RU"/>
        </w:rPr>
      </w:pPr>
      <w:r>
        <w:rPr>
          <w:lang w:val="ru-RU"/>
        </w:rPr>
        <w:t xml:space="preserve">(млн. </w:t>
      </w:r>
      <w:r>
        <w:rPr>
          <w:lang w:val="ru-RU"/>
        </w:rPr>
        <w:t xml:space="preserve">гривень</w:t>
      </w:r>
      <w:r>
        <w:rPr>
          <w:lang w:val="ru-RU"/>
        </w:rPr>
        <w:t xml:space="preserve">)</w:t>
      </w:r>
      <w:r>
        <w:rPr>
          <w:lang w:val="ru-RU"/>
        </w:rPr>
      </w:r>
    </w:p>
    <w:tbl>
      <w:tblPr>
        <w:tblStyle w:val="697"/>
        <w:jc w:val="center"/>
        <w:tblW w:w="5000" w:type="pct"/>
        <w:tblCellMar>
          <w:left w:w="15" w:type="dxa"/>
          <w:top w:w="15" w:type="dxa"/>
          <w:right w:w="15" w:type="dxa"/>
          <w:bottom w:w="15" w:type="dxa"/>
        </w:tblCellMar>
        <w:tblBorders/>
        <w:tblLook w:val="05E0" w:firstRow="1" w:lastRow="1" w:firstColumn="1" w:lastColumn="1" w:noHBand="0" w:noVBand="1"/>
      </w:tblPr>
      <w:tblGrid>
        <w:gridCol w:w="1961"/>
        <w:gridCol w:w="1656"/>
        <w:gridCol w:w="1564"/>
        <w:gridCol w:w="1487"/>
        <w:gridCol w:w="1487"/>
        <w:gridCol w:w="1484"/>
      </w:tblGrid>
      <w:tr>
        <w:trPr>
          <w:jc w:val="center"/>
          <w:trHeight w:val="315"/>
        </w:trPr>
        <w:tc>
          <w:tcPr>
            <w:tcBorders>
              <w:top w:val="single" w:color="000000" w:sz="6" w:space="0"/>
              <w:right w:val="single" w:color="000000" w:sz="6" w:space="0"/>
            </w:tcBorders>
            <w:tcMar>
              <w:left w:w="20" w:type="dxa"/>
              <w:top w:w="22" w:type="dxa"/>
              <w:right w:w="22" w:type="dxa"/>
              <w:bottom w:w="22" w:type="dxa"/>
            </w:tcMar>
            <w:tcW w:w="1961" w:type="dxa"/>
            <w:vMerge w:val="restart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Найменування</w:t>
            </w:r>
            <w:r>
              <w:t xml:space="preserve"> </w:t>
            </w:r>
            <w:r>
              <w:t xml:space="preserve">показника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2025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2026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2027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2028 </w:t>
            </w:r>
            <w:r>
              <w:t xml:space="preserve">рік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22" w:type="dxa"/>
              <w:top w:w="22" w:type="dxa"/>
              <w:right w:w="20" w:type="dxa"/>
              <w:bottom w:w="22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2029 </w:t>
            </w:r>
            <w:r>
              <w:t xml:space="preserve">рік</w:t>
            </w:r>
            <w:r/>
          </w:p>
        </w:tc>
      </w:tr>
      <w:tr>
        <w:trPr>
          <w:jc w:val="center"/>
          <w:trHeight w:val="315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(факт)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2" w:type="dxa"/>
              <w:top w:w="22" w:type="dxa"/>
              <w:right w:w="22" w:type="dxa"/>
              <w:bottom w:w="22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22" w:type="dxa"/>
              <w:top w:w="22" w:type="dxa"/>
              <w:right w:w="20" w:type="dxa"/>
              <w:bottom w:w="22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(план)</w:t>
            </w:r>
            <w:r/>
          </w:p>
        </w:tc>
      </w:tr>
      <w:tr>
        <w:trPr>
          <w:jc w:val="center"/>
          <w:trHeight w:val="315"/>
        </w:trPr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961" w:type="dxa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Доходи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3 840 994,6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2 904 600,7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3 011 696,8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3 421 089,8</w:t>
            </w:r>
            <w:r/>
          </w:p>
        </w:tc>
        <w:tc>
          <w:tcPr>
            <w:tcBorders>
              <w:top w:val="single" w:color="000000" w:sz="6" w:space="0"/>
            </w:tcBorders>
            <w:tcMar>
              <w:left w:w="20" w:type="dxa"/>
              <w:top w:w="22" w:type="dxa"/>
              <w:right w:w="20" w:type="dxa"/>
              <w:bottom w:w="20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3 725 617,6</w:t>
            </w:r>
            <w:r/>
          </w:p>
        </w:tc>
      </w:tr>
      <w:tr>
        <w:trPr>
          <w:jc w:val="center"/>
          <w:trHeight w:val="315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61" w:type="dxa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Видатки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5 480 479,4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4 767 273,8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5 046 252,5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4 873 355,5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4 545 134,6</w:t>
            </w:r>
            <w:r/>
          </w:p>
        </w:tc>
      </w:tr>
      <w:tr>
        <w:trPr>
          <w:jc w:val="center"/>
          <w:trHeight w:val="630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61" w:type="dxa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Чисте</w:t>
            </w:r>
            <w:r>
              <w:t xml:space="preserve"> </w:t>
            </w:r>
            <w:r>
              <w:t xml:space="preserve">кредитування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- 3 696,5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39 533,7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6 360,5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5 253,1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2 859,5</w:t>
            </w:r>
            <w:r/>
          </w:p>
        </w:tc>
      </w:tr>
      <w:tr>
        <w:trPr>
          <w:jc w:val="center"/>
          <w:trHeight w:val="630"/>
        </w:trPr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961" w:type="dxa"/>
            <w:textDirection w:val="lrTb"/>
            <w:noWrap w:val="false"/>
          </w:tcPr>
          <w:p>
            <w:pPr>
              <w:pStyle w:val="698"/>
              <w:pBdr/>
              <w:spacing w:after="150" w:before="150"/>
              <w:ind/>
              <w:rPr/>
            </w:pPr>
            <w:r>
              <w:t xml:space="preserve">Дефіцит</w:t>
            </w:r>
            <w:r>
              <w:t xml:space="preserve"> “-”/ </w:t>
            </w:r>
            <w:r>
              <w:t xml:space="preserve">профіцит</w:t>
            </w:r>
            <w:r>
              <w:t xml:space="preserve"> “+”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656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- 1 635 788,3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56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- 1 902 206,8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- 2 040 916,2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7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- 1 457 518,8</w:t>
            </w:r>
            <w:r/>
          </w:p>
        </w:tc>
        <w:tc>
          <w:tcPr>
            <w:tcBorders/>
            <w:tcMar>
              <w:left w:w="20" w:type="dxa"/>
              <w:top w:w="20" w:type="dxa"/>
              <w:right w:w="20" w:type="dxa"/>
              <w:bottom w:w="20" w:type="dxa"/>
            </w:tcMar>
            <w:tcW w:w="1484" w:type="dxa"/>
            <w:textDirection w:val="lrTb"/>
            <w:noWrap w:val="false"/>
          </w:tcPr>
          <w:p>
            <w:pPr>
              <w:pStyle w:val="687"/>
              <w:pBdr/>
              <w:spacing w:after="150" w:before="150"/>
              <w:ind/>
              <w:rPr/>
            </w:pPr>
            <w:r>
              <w:t xml:space="preserve">- 822 376,5</w:t>
            </w:r>
            <w:r/>
          </w:p>
        </w:tc>
      </w:tr>
    </w:tbl>
    <w:p>
      <w:pPr>
        <w:pStyle w:val="695"/>
        <w:pBdr/>
        <w:spacing/>
        <w:ind w:firstLine="44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розрахунку показників бюджету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міської ради на 2027-2029 роки враховано: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84"/>
        <w:numPr>
          <w:ilvl w:val="0"/>
          <w:numId w:val="4"/>
        </w:num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Прогнозні показники економічного і соціального розвитку міської ради, підвищення розміру мінімальної заробітної пл</w:t>
      </w:r>
      <w:r>
        <w:rPr>
          <w:rFonts w:ascii="Times New Roman" w:hAnsi="Times New Roman" w:cs="Times New Roman"/>
          <w:sz w:val="28"/>
          <w:szCs w:val="28"/>
        </w:rPr>
        <w:t xml:space="preserve">ати, динаміку надходжень за 2024</w:t>
      </w:r>
      <w:r>
        <w:rPr>
          <w:rFonts w:ascii="Times New Roman" w:hAnsi="Times New Roman" w:cs="Times New Roman"/>
          <w:sz w:val="28"/>
          <w:szCs w:val="28"/>
        </w:rPr>
        <w:t xml:space="preserve">- 202</w:t>
      </w:r>
      <w:r>
        <w:rPr>
          <w:rFonts w:ascii="Times New Roman" w:hAnsi="Times New Roman" w:cs="Times New Roman"/>
          <w:sz w:val="28"/>
          <w:szCs w:val="28"/>
        </w:rPr>
        <w:t xml:space="preserve">5 роки</w:t>
      </w:r>
      <w:r>
        <w:rPr>
          <w:rFonts w:ascii="Times New Roman" w:hAnsi="Times New Roman" w:cs="Times New Roman"/>
          <w:sz w:val="28"/>
          <w:szCs w:val="28"/>
        </w:rPr>
        <w:t xml:space="preserve"> та очікуване виконання за 202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рік.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4"/>
        </w:num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Норми податкового та бюджетного законодавства, застосування чинних ставок оподаткування.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4"/>
        </w:num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Застосування ставок місцевих податків та зборів, встановлених рішенням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від 22.06.2021 року №840-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cs="Times New Roman"/>
          <w:sz w:val="28"/>
          <w:szCs w:val="28"/>
        </w:rPr>
        <w:t xml:space="preserve"> «Про встановлення місцевих податків та зборів на території населених пунктів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громади» (зі змінами).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4"/>
        <w:numPr>
          <w:ilvl w:val="0"/>
          <w:numId w:val="4"/>
        </w:num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 місцезнаходження суб’єктів господарювання (платників податків).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Фак</w:t>
      </w:r>
      <w:r>
        <w:rPr>
          <w:rFonts w:ascii="Times New Roman" w:hAnsi="Times New Roman" w:cs="Times New Roman"/>
          <w:sz w:val="28"/>
          <w:szCs w:val="28"/>
        </w:rPr>
        <w:t xml:space="preserve">тичне виконання д</w:t>
      </w:r>
      <w:r>
        <w:rPr>
          <w:rFonts w:ascii="Times New Roman" w:hAnsi="Times New Roman" w:cs="Times New Roman"/>
          <w:sz w:val="28"/>
          <w:szCs w:val="28"/>
        </w:rPr>
        <w:t xml:space="preserve">оходної частини бюджету територі</w:t>
      </w:r>
      <w:r>
        <w:rPr>
          <w:rFonts w:ascii="Times New Roman" w:hAnsi="Times New Roman" w:cs="Times New Roman"/>
          <w:sz w:val="28"/>
          <w:szCs w:val="28"/>
        </w:rPr>
        <w:t xml:space="preserve">альної громади.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0" w:afterAutospacing="0" w:before="0" w:before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ІІІ. Загальні показники бюджету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бюджету на 2027-2029 роки включає прогнозні показники бюджету громади за основними видами</w:t>
      </w:r>
      <w:r>
        <w:rPr>
          <w:rFonts w:ascii="Times New Roman" w:hAnsi="Times New Roman" w:cs="Times New Roman"/>
          <w:sz w:val="28"/>
          <w:szCs w:val="28"/>
        </w:rPr>
        <w:t xml:space="preserve"> доходів, фінансування, видатків і кредитування, а також прогнозні показники за бюджетними програмами. Зазначені показники є основою для складання головними розпорядниками бюджетних коштів планів своєї діяльності, місцевих програм та формування показників </w:t>
      </w:r>
      <w:r>
        <w:rPr>
          <w:rFonts w:ascii="Times New Roman" w:hAnsi="Times New Roman" w:cs="Times New Roman"/>
          <w:sz w:val="28"/>
          <w:szCs w:val="28"/>
        </w:rPr>
        <w:t xml:space="preserve">проєкту</w:t>
      </w:r>
      <w:r>
        <w:rPr>
          <w:rFonts w:ascii="Times New Roman" w:hAnsi="Times New Roman" w:cs="Times New Roman"/>
          <w:sz w:val="28"/>
          <w:szCs w:val="28"/>
        </w:rPr>
        <w:t xml:space="preserve"> бюджету міської територіальної громади на 2026 рік. Формування </w:t>
      </w:r>
      <w:r>
        <w:rPr>
          <w:rFonts w:ascii="Times New Roman" w:hAnsi="Times New Roman" w:cs="Times New Roman"/>
          <w:sz w:val="28"/>
          <w:szCs w:val="28"/>
        </w:rPr>
        <w:t xml:space="preserve">проєкту</w:t>
      </w:r>
      <w:r>
        <w:rPr>
          <w:rFonts w:ascii="Times New Roman" w:hAnsi="Times New Roman" w:cs="Times New Roman"/>
          <w:sz w:val="28"/>
          <w:szCs w:val="28"/>
        </w:rPr>
        <w:t xml:space="preserve"> бюджету на відповідний рік здійснюватиметься з урахуванням змін основних прогнозних показників економічного і соціального розвитку міста, а також змін у нормативно-правовій базі.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Обсяг</w:t>
      </w:r>
      <w:r>
        <w:rPr>
          <w:rFonts w:ascii="Times New Roman" w:hAnsi="Times New Roman" w:cs="Times New Roman"/>
          <w:sz w:val="28"/>
          <w:szCs w:val="28"/>
        </w:rPr>
        <w:t xml:space="preserve"> ресурсу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2027-2029 роки прогнозується в обсягах </w:t>
      </w:r>
      <w:r>
        <w:rPr>
          <w:rFonts w:ascii="Times New Roman" w:hAnsi="Times New Roman" w:cs="Times New Roman"/>
          <w:sz w:val="28"/>
          <w:szCs w:val="28"/>
        </w:rPr>
        <w:t xml:space="preserve">431123,1</w:t>
      </w:r>
      <w:r>
        <w:rPr>
          <w:rFonts w:ascii="Times New Roman" w:hAnsi="Times New Roman" w:cs="Times New Roman"/>
          <w:sz w:val="28"/>
          <w:szCs w:val="28"/>
        </w:rPr>
        <w:t xml:space="preserve"> тис. грн, </w:t>
      </w:r>
      <w:r>
        <w:rPr>
          <w:rFonts w:ascii="Times New Roman" w:hAnsi="Times New Roman" w:cs="Times New Roman"/>
          <w:sz w:val="28"/>
          <w:szCs w:val="28"/>
        </w:rPr>
        <w:t xml:space="preserve">437654,3</w:t>
      </w:r>
      <w:r>
        <w:rPr>
          <w:rFonts w:ascii="Times New Roman" w:hAnsi="Times New Roman" w:cs="Times New Roman"/>
          <w:sz w:val="28"/>
          <w:szCs w:val="28"/>
        </w:rPr>
        <w:t xml:space="preserve"> тис. грн та </w:t>
      </w:r>
      <w:r>
        <w:rPr>
          <w:rFonts w:ascii="Times New Roman" w:hAnsi="Times New Roman" w:cs="Times New Roman"/>
          <w:sz w:val="28"/>
          <w:szCs w:val="28"/>
        </w:rPr>
        <w:t xml:space="preserve">442831,7</w:t>
      </w:r>
      <w:r>
        <w:rPr>
          <w:rFonts w:ascii="Times New Roman" w:hAnsi="Times New Roman" w:cs="Times New Roman"/>
          <w:sz w:val="28"/>
          <w:szCs w:val="28"/>
        </w:rPr>
        <w:t xml:space="preserve"> тис. грн відповідно. У співставних умовах середньорічний темп росту надходжень та витрат складає 3%. Загальні показники надходжень до бюджету та граничні показники видатків бюджету та надання кредитів з бюджету у розрізі </w:t>
      </w:r>
      <w:r>
        <w:rPr>
          <w:rFonts w:ascii="Times New Roman" w:hAnsi="Times New Roman" w:cs="Times New Roman"/>
          <w:sz w:val="28"/>
          <w:szCs w:val="28"/>
        </w:rPr>
        <w:t xml:space="preserve">років середньострокового періоду наведені у додатку 1 до </w:t>
      </w:r>
      <w:r>
        <w:rPr>
          <w:rFonts w:ascii="Times New Roman" w:hAnsi="Times New Roman" w:cs="Times New Roman"/>
          <w:sz w:val="28"/>
          <w:szCs w:val="28"/>
        </w:rPr>
        <w:t xml:space="preserve">проєкту</w:t>
      </w:r>
      <w:r>
        <w:rPr>
          <w:rFonts w:ascii="Times New Roman" w:hAnsi="Times New Roman" w:cs="Times New Roman"/>
          <w:sz w:val="28"/>
          <w:szCs w:val="28"/>
        </w:rPr>
        <w:t xml:space="preserve"> прогнозу бюджету. </w:t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tbl>
      <w:tblPr>
        <w:tblInd w:w="-1134" w:type="dxa"/>
        <w:tblW w:w="10773" w:type="dxa"/>
        <w:tblBorders/>
        <w:tblLayout w:type="fixed"/>
        <w:tblLook w:val="04A0" w:firstRow="1" w:lastRow="0" w:firstColumn="1" w:lastColumn="0" w:noHBand="0" w:noVBand="1"/>
      </w:tblPr>
      <w:tblGrid>
        <w:gridCol w:w="405"/>
        <w:gridCol w:w="236"/>
        <w:gridCol w:w="556"/>
        <w:gridCol w:w="236"/>
        <w:gridCol w:w="9340"/>
      </w:tblGrid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                   Додаток 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r>
          </w:p>
        </w:tc>
      </w:tr>
      <w:tr>
        <w:trPr>
          <w:trHeight w:val="176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                   до Прогнозу місцевого бюджету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r>
          </w:p>
        </w:tc>
      </w:tr>
      <w:tr>
        <w:trPr>
          <w:trHeight w:val="76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 xml:space="preserve">Берестинської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 xml:space="preserve"> міської територіальної громади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                   на 2027-2029 роки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 w:left="-655"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1168" w:left="-1939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vAlign w:val="center"/>
            <w:textDirection w:val="lrTb"/>
            <w:noWrap w:val="false"/>
          </w:tcPr>
          <w:tbl>
            <w:tblPr>
              <w:tblW w:w="9131" w:type="dxa"/>
              <w:tblCellMar>
                <w:left w:w="10" w:type="dxa"/>
                <w:right w:w="10" w:type="dxa"/>
              </w:tblCellMar>
              <w:tblBorders/>
              <w:tblLayout w:type="fixed"/>
              <w:tblLook w:val="04A0" w:firstRow="1" w:lastRow="0" w:firstColumn="1" w:lastColumn="0" w:noHBand="0" w:noVBand="1"/>
            </w:tblPr>
            <w:tblGrid>
              <w:gridCol w:w="40"/>
              <w:gridCol w:w="269"/>
              <w:gridCol w:w="3537"/>
              <w:gridCol w:w="1134"/>
              <w:gridCol w:w="1134"/>
              <w:gridCol w:w="992"/>
              <w:gridCol w:w="992"/>
              <w:gridCol w:w="993"/>
              <w:gridCol w:w="40"/>
            </w:tblGrid>
            <w:tr>
              <w:trPr>
                <w:trHeight w:val="4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gridSpan w:val="7"/>
                  <w:tcBorders/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51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ЗАГАЛЬНІ ПОКАЗНИКИ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  <w:br/>
                    <w:t xml:space="preserve">бюджету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2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gridSpan w:val="2"/>
                  <w:tcBorders/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806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2054000000</w:t>
                  </w:r>
                  <w:r/>
                </w:p>
              </w:tc>
              <w:tc>
                <w:tcPr>
                  <w:tcBorders/>
                  <w:tcW w:w="1134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1134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992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992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993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3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gridSpan w:val="2"/>
                  <w:tcBorders>
                    <w:top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806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(код бюджету)</w:t>
                  </w:r>
                  <w:r/>
                </w:p>
              </w:tc>
              <w:tc>
                <w:tcPr>
                  <w:tcBorders/>
                  <w:tcW w:w="1134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1134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992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W w:w="992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/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3" w:type="dxa"/>
                  <w:vAlign w:val="bottom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(грн)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5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№ з/п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Найменування показника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2025 рік (звіт)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2026 рік (затверджено)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2027 рік (план)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2028 рік (план)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2029 рік (план)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3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4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5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6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7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gridSpan w:val="7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51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І. Загальні показники надходжень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50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1.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Доходи (з міжбюджетними трансфертами),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537 782 132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464 848 961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431 123 118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437 654 291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442 831 694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500 730 832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441 065 971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423 751 661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430 185 579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435 276 616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37 051 300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23 782 990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7 371 457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7 468 712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7 555 078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2.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Фінансування,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133 363 579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105 467 316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-111 778 782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1 668 769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-1 000 000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-1 000 000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-1 000 000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245 142 361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103 798 547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3.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Надання кредитів,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Х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УСЬОГО за розділом І,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671 145 711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570 316 277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431 123 118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437 654 291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442 831 694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388 952 050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442 734 740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422 751 661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429 185 579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434 276 616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282 193 661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127 581 537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8 371 457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8 468 712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8 555 078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gridSpan w:val="7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51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ІІ. Загальні граничні показники видатків та надання кредитів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38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1.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Видатки ( з міжбюджетними трансфертами),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671 145 711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570 316 277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431 123 118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437 654 291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442 831 694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388 952 050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442 734 740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422 751 661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429 185 579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434 276 616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282 193 661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127 581 537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8 371 457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8 468 712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8 555 078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публічні інвестиції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4 255 771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23 748 592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2.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Надання кредитів,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/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публічні інвестиції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/>
                    <w:jc w:val="center"/>
                    <w:rPr/>
                  </w:pPr>
                  <w:r>
                    <w:rPr>
                      <w:rFonts w:ascii="Arial" w:hAnsi="Arial" w:eastAsia="Arial" w:cs="Arial"/>
                      <w:b/>
                      <w:sz w:val="16"/>
                    </w:rPr>
                    <w:t xml:space="preserve">Х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6"/>
                    </w:rPr>
                    <w:t xml:space="preserve">УСЬОГО за розділом ІІ,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671 145 711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570 316 277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431 123 118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437 654 291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14"/>
                    </w:rPr>
                    <w:t xml:space="preserve">442 831 694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загальний фонд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388 952 050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442 734 740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422 751 661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429 185 579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434 276 616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спеціальний фонд, у тому числі: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282 193 661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127 581 537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8 371 457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8 468 712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8 555 078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  <w:tr>
              <w:trPr>
                <w:trHeight w:val="260" w:hRule="exact"/>
              </w:trPr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69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jc w:val="center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X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537" w:type="dxa"/>
                  <w:vAlign w:val="center"/>
                  <w:textDirection w:val="lrTb"/>
                  <w:noWrap w:val="false"/>
                </w:tcPr>
                <w:p>
                  <w:pPr>
                    <w:pBdr/>
                    <w:spacing/>
                    <w:ind w:left="60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</w:rPr>
                    <w:t xml:space="preserve">публічні інвестиції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4 255 771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23 748 592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2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0" w:type="dxa"/>
                    <w:top w:w="20" w:type="dxa"/>
                    <w:right w:w="0" w:type="dxa"/>
                    <w:bottom w:w="20" w:type="dxa"/>
                  </w:tcMar>
                  <w:tcW w:w="993" w:type="dxa"/>
                  <w:textDirection w:val="lrTb"/>
                  <w:noWrap w:val="false"/>
                </w:tcPr>
                <w:p>
                  <w:pPr>
                    <w:pBdr/>
                    <w:spacing/>
                    <w:ind w:right="60"/>
                    <w:jc w:val="right"/>
                    <w:rPr/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</w:rPr>
                    <w:t xml:space="preserve">1 000 000</w:t>
                  </w:r>
                  <w:r/>
                </w:p>
              </w:tc>
              <w:tc>
                <w:tcPr>
                  <w:tcBorders/>
                  <w:tcW w:w="40" w:type="dxa"/>
                  <w:textDirection w:val="lrTb"/>
                  <w:noWrap w:val="false"/>
                </w:tcPr>
                <w:p>
                  <w:pPr>
                    <w:pStyle w:val="703"/>
                    <w:pBdr/>
                    <w:spacing/>
                    <w:ind/>
                    <w:rPr/>
                  </w:pPr>
                  <w:r/>
                  <w:r/>
                </w:p>
              </w:tc>
            </w:tr>
          </w:tbl>
          <w:p>
            <w:pPr>
              <w:pBdr/>
              <w:spacing w:after="0" w:line="240" w:lineRule="auto"/>
              <w:ind w:hanging="3907" w:left="205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</w:tr>
      <w:tr>
        <w:trPr>
          <w:trHeight w:val="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highlight w:val="yellow"/>
                <w:lang w:eastAsia="uk-UA"/>
              </w:rPr>
            </w:r>
          </w:p>
        </w:tc>
      </w:tr>
    </w:tbl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Порівняння показників прогнозу на 2027—2029 роки до показників прогнозу на 2026—2028 роки наведено у таблиці.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Показники прогнозу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2027—2029 роки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грн</w:t>
      </w:r>
      <w:r>
        <w:rPr>
          <w:rFonts w:ascii="Times New Roman" w:hAnsi="Times New Roman" w:cs="Times New Roman"/>
          <w:sz w:val="18"/>
          <w:szCs w:val="18"/>
        </w:rPr>
      </w:r>
    </w:p>
    <w:tbl>
      <w:tblPr>
        <w:tblStyle w:val="694"/>
        <w:tblW w:w="0" w:type="auto"/>
        <w:tblBorders/>
        <w:tblLook w:val="04A0" w:firstRow="1" w:lastRow="0" w:firstColumn="1" w:lastColumn="0" w:noHBand="0" w:noVBand="1"/>
      </w:tblPr>
      <w:tblGrid>
        <w:gridCol w:w="1969"/>
        <w:gridCol w:w="1348"/>
        <w:gridCol w:w="1348"/>
        <w:gridCol w:w="1348"/>
        <w:gridCol w:w="1348"/>
        <w:gridCol w:w="1139"/>
        <w:gridCol w:w="993"/>
      </w:tblGrid>
      <w:tr>
        <w:trPr/>
        <w:tc>
          <w:tcPr>
            <w:tcBorders>
              <w:right w:val="single" w:color="auto" w:sz="4" w:space="0"/>
            </w:tcBorders>
            <w:tcW w:w="1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Найменування показника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Прогноз на 2026-2028 роки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Прогноз на 2027-2029 роки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left w:val="single" w:color="auto" w:sz="4" w:space="0"/>
            </w:tcBorders>
            <w:tcW w:w="21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Відхилення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rPr/>
        <w:tc>
          <w:tcPr>
            <w:tcBorders>
              <w:right w:val="single" w:color="auto" w:sz="4" w:space="0"/>
            </w:tcBorders>
            <w:tcW w:w="1969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 рік (прогноз)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2028 рік (прогноз)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 рік (прогноз)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2028 рік (прогноз)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11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 рік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9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2028 рік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rPr/>
        <w:tc>
          <w:tcPr>
            <w:tcBorders>
              <w:right w:val="single" w:color="auto" w:sz="4" w:space="0"/>
            </w:tcBorders>
            <w:tcW w:w="19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Доходи (з міжбюджетними трансфертами)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408 465 097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418 575 995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431 123 118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437 654 291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11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22 658 021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993" w:type="dxa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19 078 306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rPr/>
        <w:tc>
          <w:tcPr>
            <w:tcBorders>
              <w:right w:val="single" w:color="auto" w:sz="4" w:space="0"/>
            </w:tcBorders>
            <w:tcW w:w="19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Загальний фонд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396 734 894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406 814 185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423 751 661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430 185 579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11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27 016 767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993" w:type="dxa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23 371 394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rPr/>
        <w:tc>
          <w:tcPr>
            <w:tcBorders>
              <w:right w:val="single" w:color="auto" w:sz="4" w:space="0"/>
            </w:tcBorders>
            <w:tcW w:w="19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Спеціальний фонд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11 730 203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11 761 810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7 371 457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134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7 468 712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11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-4 358 746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/>
            <w:tcW w:w="993" w:type="dxa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-4 293 088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702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2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Відхилення показників прогнозу бюджету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міської територіальної громади на 2027–2029 роки від показників, визначених прогноз</w:t>
      </w:r>
      <w:r>
        <w:rPr>
          <w:sz w:val="28"/>
          <w:szCs w:val="28"/>
        </w:rPr>
        <w:t xml:space="preserve">ом бюджету на 2026–2028 роки, з</w:t>
      </w:r>
      <w:r>
        <w:rPr>
          <w:sz w:val="28"/>
          <w:szCs w:val="28"/>
        </w:rPr>
        <w:t xml:space="preserve">умовлені уточненням прогнозних макроекономічних показників,</w:t>
      </w:r>
      <w:r>
        <w:rPr>
          <w:sz w:val="28"/>
          <w:szCs w:val="28"/>
        </w:rPr>
        <w:t xml:space="preserve"> переглядом очікуваного виконання бюджету громади у 2026 році, актуалізацією прогнозної бази надходжень, а також урахуванням положень Бюджетної декларації та змін бюджетного і податкового законодавства, що впливають на формування доходної частини бюджету. </w:t>
      </w:r>
      <w:r>
        <w:rPr>
          <w:sz w:val="28"/>
          <w:szCs w:val="28"/>
        </w:rPr>
      </w:r>
    </w:p>
    <w:p>
      <w:pPr>
        <w:pStyle w:val="685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Загальний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обсяг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доходів</w:t>
      </w:r>
      <w:r>
        <w:rPr>
          <w:sz w:val="28"/>
          <w:szCs w:val="28"/>
        </w:rPr>
        <w:t xml:space="preserve"> бюджету (з </w:t>
      </w:r>
      <w:r>
        <w:rPr>
          <w:sz w:val="28"/>
          <w:szCs w:val="28"/>
        </w:rPr>
        <w:t xml:space="preserve">міжбюджетними</w:t>
      </w:r>
      <w:r>
        <w:rPr>
          <w:sz w:val="28"/>
          <w:szCs w:val="28"/>
        </w:rPr>
        <w:t xml:space="preserve"> трансфертами) у </w:t>
      </w:r>
      <w:r>
        <w:rPr>
          <w:sz w:val="28"/>
          <w:szCs w:val="28"/>
        </w:rPr>
        <w:t xml:space="preserve">прогнозі</w:t>
      </w:r>
      <w:r>
        <w:rPr>
          <w:sz w:val="28"/>
          <w:szCs w:val="28"/>
        </w:rPr>
        <w:t xml:space="preserve"> на 2027 </w:t>
      </w:r>
      <w:r>
        <w:rPr>
          <w:sz w:val="28"/>
          <w:szCs w:val="28"/>
        </w:rPr>
        <w:t xml:space="preserve">рік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збільшено</w:t>
      </w:r>
      <w:r>
        <w:rPr>
          <w:sz w:val="28"/>
          <w:szCs w:val="28"/>
        </w:rPr>
        <w:t xml:space="preserve"> на </w:t>
      </w:r>
      <w:r>
        <w:rPr>
          <w:rStyle w:val="701"/>
          <w:b w:val="0"/>
          <w:sz w:val="28"/>
          <w:szCs w:val="28"/>
          <w:lang w:val="uk-UA"/>
        </w:rPr>
        <w:t xml:space="preserve">22658,0</w:t>
      </w:r>
      <w:r>
        <w:rPr>
          <w:rStyle w:val="701"/>
          <w:b w:val="0"/>
          <w:sz w:val="28"/>
          <w:szCs w:val="28"/>
        </w:rPr>
        <w:t xml:space="preserve"> тис. </w:t>
      </w:r>
      <w:r>
        <w:rPr>
          <w:rStyle w:val="701"/>
          <w:b w:val="0"/>
          <w:sz w:val="28"/>
          <w:szCs w:val="28"/>
        </w:rPr>
        <w:t xml:space="preserve">грн</w:t>
      </w:r>
      <w:r>
        <w:rPr>
          <w:rStyle w:val="701"/>
          <w:b w:val="0"/>
          <w:sz w:val="28"/>
          <w:szCs w:val="28"/>
          <w:lang w:val="uk-UA"/>
        </w:rPr>
        <w:t xml:space="preserve">,</w:t>
      </w:r>
      <w:r>
        <w:rPr>
          <w:b/>
          <w:sz w:val="28"/>
          <w:szCs w:val="28"/>
        </w:rPr>
        <w:t xml:space="preserve">,</w:t>
      </w:r>
      <w:r>
        <w:rPr>
          <w:sz w:val="28"/>
          <w:szCs w:val="28"/>
        </w:rPr>
        <w:t xml:space="preserve"> а на 2028 </w:t>
      </w:r>
      <w:r>
        <w:rPr>
          <w:sz w:val="28"/>
          <w:szCs w:val="28"/>
        </w:rPr>
        <w:t xml:space="preserve">рік</w:t>
      </w:r>
      <w:r>
        <w:rPr>
          <w:sz w:val="28"/>
          <w:szCs w:val="28"/>
        </w:rPr>
        <w:t xml:space="preserve"> – на </w:t>
      </w:r>
      <w:r>
        <w:rPr>
          <w:rStyle w:val="701"/>
          <w:b w:val="0"/>
          <w:sz w:val="28"/>
          <w:szCs w:val="28"/>
        </w:rPr>
        <w:t xml:space="preserve">1</w:t>
      </w:r>
      <w:r>
        <w:rPr>
          <w:rStyle w:val="701"/>
          <w:b w:val="0"/>
          <w:sz w:val="28"/>
          <w:szCs w:val="28"/>
          <w:lang w:val="uk-UA"/>
        </w:rPr>
        <w:t xml:space="preserve">9078,3</w:t>
      </w:r>
      <w:r>
        <w:rPr>
          <w:rStyle w:val="701"/>
          <w:b w:val="0"/>
          <w:sz w:val="28"/>
          <w:szCs w:val="28"/>
        </w:rPr>
        <w:t xml:space="preserve"> тис. </w:t>
      </w:r>
      <w:r>
        <w:rPr>
          <w:rStyle w:val="701"/>
          <w:b w:val="0"/>
          <w:sz w:val="28"/>
          <w:szCs w:val="28"/>
          <w:lang w:val="uk-UA"/>
        </w:rPr>
        <w:t xml:space="preserve">г</w:t>
      </w:r>
      <w:r>
        <w:rPr>
          <w:rStyle w:val="701"/>
          <w:b w:val="0"/>
          <w:sz w:val="28"/>
          <w:szCs w:val="28"/>
        </w:rPr>
        <w:t xml:space="preserve">рн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порівняно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попереднім</w:t>
      </w:r>
      <w:r>
        <w:rPr>
          <w:sz w:val="28"/>
          <w:szCs w:val="28"/>
        </w:rPr>
        <w:t xml:space="preserve"> прогнозом. </w:t>
      </w:r>
      <w:r>
        <w:rPr>
          <w:sz w:val="28"/>
          <w:szCs w:val="28"/>
        </w:rPr>
        <w:t xml:space="preserve">Зростання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забезпечено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насамперед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збільшенням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надходжень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загального</w:t>
      </w:r>
      <w:r>
        <w:rPr>
          <w:sz w:val="28"/>
          <w:szCs w:val="28"/>
        </w:rPr>
        <w:t xml:space="preserve"> фонду бюджету.</w:t>
      </w:r>
      <w:r>
        <w:rPr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Доходи загального фонду збільшено на </w:t>
      </w:r>
      <w:r>
        <w:rPr>
          <w:rStyle w:val="701"/>
          <w:rFonts w:ascii="Times New Roman" w:hAnsi="Times New Roman" w:cs="Times New Roman"/>
          <w:b w:val="0"/>
          <w:sz w:val="28"/>
          <w:szCs w:val="28"/>
        </w:rPr>
        <w:t xml:space="preserve">27016,8</w:t>
      </w:r>
      <w:r>
        <w:rPr>
          <w:rStyle w:val="701"/>
          <w:rFonts w:ascii="Times New Roman" w:hAnsi="Times New Roman" w:cs="Times New Roman"/>
          <w:b w:val="0"/>
          <w:sz w:val="28"/>
          <w:szCs w:val="28"/>
        </w:rPr>
        <w:t xml:space="preserve"> тис. грн.</w:t>
      </w:r>
      <w:r>
        <w:rPr>
          <w:rFonts w:ascii="Times New Roman" w:hAnsi="Times New Roman" w:cs="Times New Roman"/>
          <w:sz w:val="28"/>
          <w:szCs w:val="28"/>
        </w:rPr>
        <w:t xml:space="preserve"> у 2027 році та на </w:t>
      </w:r>
      <w:r>
        <w:rPr>
          <w:rStyle w:val="701"/>
          <w:rFonts w:ascii="Times New Roman" w:hAnsi="Times New Roman" w:cs="Times New Roman"/>
          <w:b w:val="0"/>
          <w:sz w:val="28"/>
          <w:szCs w:val="28"/>
        </w:rPr>
        <w:t xml:space="preserve">23371,4</w:t>
      </w:r>
      <w:r>
        <w:rPr>
          <w:rStyle w:val="701"/>
          <w:rFonts w:ascii="Times New Roman" w:hAnsi="Times New Roman" w:cs="Times New Roman"/>
          <w:b w:val="0"/>
          <w:sz w:val="28"/>
          <w:szCs w:val="28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</w:rPr>
        <w:t xml:space="preserve">. у 2028 році. Це пов’язано з уточненням основних бюджетоутворюючих податків і зборі</w:t>
      </w:r>
      <w:r>
        <w:rPr>
          <w:rFonts w:ascii="Times New Roman" w:hAnsi="Times New Roman" w:cs="Times New Roman"/>
          <w:sz w:val="28"/>
          <w:szCs w:val="28"/>
        </w:rPr>
        <w:t xml:space="preserve">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Відхилення показників прогнозу бюджету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міської територіальної громади на 2027–2029 роки від показників, визначених прогнозом бюджету на 20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26–2028 роки, обумовлені актуалізацією прогнозних макроекономічних показників, змінами бюджетного і податкового законодавства, уточненням прогнозу соціально-економічного розвитку громади, а також фактичними результатами виконання бюджету за попередні роки.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У частині доходів зміни прогнозних показників пов'язані з: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Style w:val="684"/>
        <w:numPr>
          <w:ilvl w:val="0"/>
          <w:numId w:val="1"/>
        </w:numPr>
        <w:pBdr/>
        <w:spacing w:after="0" w:line="240" w:lineRule="auto"/>
        <w:ind w:right="0" w:firstLine="708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урахуванням фактичного виконання бюджету, прогнозного зростання фонду оплати праці, зміни рівня мінімальної заробітної плати, індексації заробітної плати працівників бюджетної сфери,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спрямуванням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податку на доходи фізичних осі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з грошового забезпечення військовослужбовців до державного бюджет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очікуваної динаміки чисельності працюючих та діяльності найбільших платників податку на території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Style w:val="684"/>
        <w:numPr>
          <w:ilvl w:val="0"/>
          <w:numId w:val="1"/>
        </w:numPr>
        <w:pBdr/>
        <w:spacing w:after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переглядом прогнозу надходжень єдиного податку в частині з</w:t>
      </w:r>
      <w:r>
        <w:rPr>
          <w:rFonts w:ascii="Times New Roman" w:hAnsi="Times New Roman" w:cs="Times New Roman"/>
          <w:sz w:val="28"/>
          <w:szCs w:val="28"/>
        </w:rPr>
        <w:t xml:space="preserve">ростання цін на товари та послуги, що призвело до номінального збільшення оборотів у ФОП 3-ї групи, які сплачують </w:t>
      </w:r>
      <w:r>
        <w:rPr>
          <w:rStyle w:val="701"/>
          <w:rFonts w:ascii="Times New Roman" w:hAnsi="Times New Roman" w:cs="Times New Roman"/>
          <w:b w:val="0"/>
          <w:sz w:val="28"/>
          <w:szCs w:val="28"/>
        </w:rPr>
        <w:t xml:space="preserve">5% від загального доходу</w:t>
      </w:r>
      <w:r>
        <w:rPr>
          <w:rFonts w:ascii="Times New Roman" w:hAnsi="Times New Roman" w:cs="Times New Roman"/>
          <w:sz w:val="28"/>
          <w:szCs w:val="28"/>
        </w:rPr>
        <w:t xml:space="preserve">. Відповідно, при збільшенні вартості чека зросли й обсяги податку, що надходять до бюджету. Також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переглядом розміру мінімальної </w:t>
      </w:r>
      <w:r>
        <w:rPr>
          <w:rFonts w:ascii="Times New Roman" w:hAnsi="Times New Roman" w:cs="Times New Roman"/>
          <w:sz w:val="28"/>
          <w:szCs w:val="28"/>
        </w:rPr>
        <w:t xml:space="preserve">заробітної плати та прожиткового мінімуму, що впливають на базу оподаткування;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851"/>
          <w:tab w:val="left" w:leader="none" w:pos="1134"/>
        </w:tabs>
        <w:spacing w:after="0" w:line="240" w:lineRule="auto"/>
        <w:ind w:right="0" w:firstLine="708" w:left="0"/>
        <w:jc w:val="both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-  уточненням прогнозних надходжень плати за землю </w:t>
      </w:r>
      <w:r>
        <w:rPr>
          <w:rFonts w:ascii="Times New Roman" w:hAnsi="Times New Roman" w:cs="Times New Roman"/>
          <w:sz w:val="28"/>
          <w:szCs w:val="28"/>
        </w:rPr>
        <w:t xml:space="preserve">з урахуванням      проведення інве</w:t>
      </w:r>
      <w:r>
        <w:rPr>
          <w:rFonts w:ascii="Times New Roman" w:hAnsi="Times New Roman" w:cs="Times New Roman"/>
          <w:sz w:val="28"/>
          <w:szCs w:val="28"/>
        </w:rPr>
        <w:t xml:space="preserve">нтаризації земель, перегляду нормативної грошової оцінки земельних ділянок по АТ «Укрзалізниця», укладення нових договорів оренди землі, зміни площ земельних ділянок, які перебувають у користуванні, а також очікуваного рівня платіжної дисципліни платників;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</w:r>
    </w:p>
    <w:p>
      <w:pPr>
        <w:pBdr/>
        <w:spacing w:after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- зміною прогнозних надходжень податку на нерухоме майно, </w:t>
      </w:r>
      <w:r>
        <w:rPr>
          <w:rFonts w:ascii="Times New Roman" w:hAnsi="Times New Roman" w:cs="Times New Roman"/>
          <w:sz w:val="28"/>
          <w:szCs w:val="28"/>
        </w:rPr>
        <w:t xml:space="preserve">обумовлених уточненням кількості об'єктів оподаткування, зміною бази оподаткування, введенням в експлуатацію нових об'єктів нерухомості та рішеннями міської ради щодо ставок місцевих податків;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коригуванням прогнозу акцизного податку відповідно до очікуваних обсягів реалізації підакцизних товарів на території громади, прогнозного рівня споживчого попиту та змін податкового законодавства;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0"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з переглядом прогнозу неподаткових </w:t>
      </w:r>
      <w:r>
        <w:rPr>
          <w:rFonts w:ascii="Times New Roman" w:hAnsi="Times New Roman" w:cs="Times New Roman"/>
          <w:sz w:val="28"/>
          <w:szCs w:val="28"/>
        </w:rPr>
        <w:t xml:space="preserve">надходжень, яке пов'язано з уточненням обсягів адміністративних зборів і платежів, плати за надання адміністративних послуг, надходжень від оренди комунального майна, власних надходжень бюджетних установ та інших джерел доходів згідно фактичних надходжень;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0" w:firstLine="708" w:left="0"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- врахуванням змін обсягів міжбюджетних трансфертів відповідно до прогнозних показників державного бюджету. 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eastAsia="uk-UA"/>
        </w:rPr>
      </w:r>
    </w:p>
    <w:p>
      <w:pPr>
        <w:pStyle w:val="685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Водночас</w:t>
      </w:r>
      <w:r>
        <w:rPr>
          <w:sz w:val="28"/>
          <w:szCs w:val="28"/>
        </w:rPr>
        <w:t xml:space="preserve"> прогноз </w:t>
      </w:r>
      <w:r>
        <w:rPr>
          <w:sz w:val="28"/>
          <w:szCs w:val="28"/>
        </w:rPr>
        <w:t xml:space="preserve">доходів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спеціального</w:t>
      </w:r>
      <w:r>
        <w:rPr>
          <w:sz w:val="28"/>
          <w:szCs w:val="28"/>
        </w:rPr>
        <w:t xml:space="preserve"> фонду </w:t>
      </w:r>
      <w:r>
        <w:rPr>
          <w:sz w:val="28"/>
          <w:szCs w:val="28"/>
        </w:rPr>
        <w:t xml:space="preserve">зменшено</w:t>
      </w:r>
      <w:r>
        <w:rPr>
          <w:sz w:val="28"/>
          <w:szCs w:val="28"/>
        </w:rPr>
        <w:t xml:space="preserve"> на </w:t>
      </w:r>
      <w:r>
        <w:rPr>
          <w:rStyle w:val="701"/>
          <w:b w:val="0"/>
          <w:sz w:val="28"/>
          <w:szCs w:val="28"/>
        </w:rPr>
        <w:t xml:space="preserve">4358,7 тис. </w:t>
      </w:r>
      <w:r>
        <w:rPr>
          <w:rStyle w:val="701"/>
          <w:b w:val="0"/>
          <w:sz w:val="28"/>
          <w:szCs w:val="28"/>
        </w:rPr>
        <w:t xml:space="preserve">грн</w:t>
      </w:r>
      <w:r>
        <w:rPr>
          <w:sz w:val="28"/>
          <w:szCs w:val="28"/>
        </w:rPr>
        <w:t xml:space="preserve"> у 2027 </w:t>
      </w:r>
      <w:r>
        <w:rPr>
          <w:sz w:val="28"/>
          <w:szCs w:val="28"/>
        </w:rPr>
        <w:t xml:space="preserve">році</w:t>
      </w:r>
      <w:r>
        <w:rPr>
          <w:sz w:val="28"/>
          <w:szCs w:val="28"/>
        </w:rPr>
        <w:t xml:space="preserve"> та на </w:t>
      </w:r>
      <w:r>
        <w:rPr>
          <w:rStyle w:val="701"/>
          <w:b w:val="0"/>
          <w:sz w:val="28"/>
          <w:szCs w:val="28"/>
        </w:rPr>
        <w:t xml:space="preserve">4293,1 тис. </w:t>
      </w:r>
      <w:r>
        <w:rPr>
          <w:rStyle w:val="701"/>
          <w:b w:val="0"/>
          <w:sz w:val="28"/>
          <w:szCs w:val="28"/>
        </w:rPr>
        <w:t xml:space="preserve">грн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  <w:t xml:space="preserve"> у 2028 </w:t>
      </w:r>
      <w:r>
        <w:rPr>
          <w:sz w:val="28"/>
          <w:szCs w:val="28"/>
        </w:rPr>
        <w:t xml:space="preserve">році</w:t>
      </w:r>
      <w:r>
        <w:rPr>
          <w:sz w:val="28"/>
          <w:szCs w:val="28"/>
        </w:rPr>
        <w:t xml:space="preserve"> у </w:t>
      </w:r>
      <w:r>
        <w:rPr>
          <w:sz w:val="28"/>
          <w:szCs w:val="28"/>
        </w:rPr>
        <w:t xml:space="preserve">зв'язку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уточненням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надходжень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власних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спеціального</w:t>
      </w:r>
      <w:r>
        <w:rPr>
          <w:sz w:val="28"/>
          <w:szCs w:val="28"/>
        </w:rPr>
        <w:t xml:space="preserve"> фонду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екологічного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податку</w:t>
      </w:r>
      <w:r>
        <w:rPr>
          <w:sz w:val="28"/>
          <w:szCs w:val="28"/>
          <w:lang w:val="uk-UA"/>
        </w:rPr>
        <w:t xml:space="preserve"> згідно фактичних надходжень 2026 року. </w:t>
      </w:r>
      <w:r>
        <w:rPr>
          <w:sz w:val="28"/>
          <w:szCs w:val="28"/>
          <w:lang w:val="uk-UA"/>
        </w:rPr>
      </w:r>
    </w:p>
    <w:p>
      <w:pPr>
        <w:pStyle w:val="685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цілому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зміни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спрямовані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приведення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показників</w:t>
      </w:r>
      <w:r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територіальної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громади</w:t>
      </w:r>
      <w:r>
        <w:rPr>
          <w:sz w:val="28"/>
          <w:szCs w:val="28"/>
        </w:rPr>
        <w:t xml:space="preserve"> у </w:t>
      </w:r>
      <w:r>
        <w:rPr>
          <w:sz w:val="28"/>
          <w:szCs w:val="28"/>
        </w:rPr>
        <w:t xml:space="preserve">відповідність</w:t>
      </w:r>
      <w:r>
        <w:rPr>
          <w:sz w:val="28"/>
          <w:szCs w:val="28"/>
        </w:rPr>
        <w:t xml:space="preserve"> до </w:t>
      </w:r>
      <w:r>
        <w:rPr>
          <w:sz w:val="28"/>
          <w:szCs w:val="28"/>
        </w:rPr>
        <w:t xml:space="preserve">оновлених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соціально-економічних</w:t>
      </w:r>
      <w:r>
        <w:rPr>
          <w:sz w:val="28"/>
          <w:szCs w:val="28"/>
        </w:rPr>
        <w:t xml:space="preserve"> умов, </w:t>
      </w:r>
      <w:r>
        <w:rPr>
          <w:sz w:val="28"/>
          <w:szCs w:val="28"/>
        </w:rPr>
        <w:t xml:space="preserve">очікуваного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виконання</w:t>
      </w:r>
      <w:r>
        <w:rPr>
          <w:sz w:val="28"/>
          <w:szCs w:val="28"/>
        </w:rPr>
        <w:t xml:space="preserve"> бюджету та </w:t>
      </w:r>
      <w:r>
        <w:rPr>
          <w:sz w:val="28"/>
          <w:szCs w:val="28"/>
        </w:rPr>
        <w:t xml:space="preserve">вимог</w:t>
      </w:r>
      <w:r>
        <w:rPr>
          <w:sz w:val="28"/>
          <w:szCs w:val="28"/>
        </w:rPr>
        <w:t xml:space="preserve"> бюджетного </w:t>
      </w:r>
      <w:r>
        <w:rPr>
          <w:sz w:val="28"/>
          <w:szCs w:val="28"/>
        </w:rPr>
        <w:t xml:space="preserve">законодавства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щодо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середньострокового</w:t>
      </w:r>
      <w:r>
        <w:rPr>
          <w:sz w:val="28"/>
          <w:szCs w:val="28"/>
        </w:rPr>
        <w:t xml:space="preserve"> бюджетного </w:t>
      </w:r>
      <w:r>
        <w:rPr>
          <w:sz w:val="28"/>
          <w:szCs w:val="28"/>
        </w:rPr>
        <w:t xml:space="preserve">планування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</w:p>
    <w:p>
      <w:pPr>
        <w:pStyle w:val="685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ІV. Показники доходів бюджету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дохідної частини бюджету громади розроблено 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 бюджетно-податкового законодавства, основних прогнозних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макропоказників</w:t>
      </w:r>
      <w:r>
        <w:rPr>
          <w:rFonts w:ascii="Times New Roman" w:hAnsi="Times New Roman" w:cs="Times New Roman"/>
          <w:sz w:val="28"/>
          <w:szCs w:val="28"/>
        </w:rPr>
        <w:t xml:space="preserve"> економічного і соціального розвитку України та міста,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особливостей податкової політики, передбачених Бюджетною декларацією на 202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-202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9</w:t>
      </w:r>
      <w:r>
        <w:rPr>
          <w:rFonts w:ascii="Times New Roman" w:hAnsi="Times New Roman" w:cs="Times New Roman"/>
          <w:sz w:val="28"/>
          <w:szCs w:val="28"/>
        </w:rPr>
        <w:t xml:space="preserve"> роки, положень нормативно-правових актів міської ради 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встановлення місцевих податків і зборів та поточного виконання бюджету громади.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розширення податкової бази та залучення додаткових надходжень до бюджету громади визначено такі пріоритетні завдання: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сприяння розвитку бюджетоут</w:t>
      </w:r>
      <w:r>
        <w:rPr>
          <w:rFonts w:ascii="Times New Roman" w:hAnsi="Times New Roman" w:cs="Times New Roman"/>
          <w:sz w:val="28"/>
          <w:szCs w:val="28"/>
        </w:rPr>
        <w:t xml:space="preserve">ворюючих підприємств, розширенн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діючих виробничих </w:t>
      </w:r>
      <w:r>
        <w:rPr>
          <w:rFonts w:ascii="Times New Roman" w:hAnsi="Times New Roman" w:cs="Times New Roman"/>
          <w:sz w:val="28"/>
          <w:szCs w:val="28"/>
        </w:rPr>
        <w:t xml:space="preserve">потужностей</w:t>
      </w:r>
      <w:r>
        <w:rPr>
          <w:rFonts w:ascii="Times New Roman" w:hAnsi="Times New Roman" w:cs="Times New Roman"/>
          <w:sz w:val="28"/>
          <w:szCs w:val="28"/>
        </w:rPr>
        <w:t xml:space="preserve">, збільшенн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виробництва продукції;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поліпшення економічних, правових та організаційних умов для залучення інвестиційних ресурсів та задіяння земельного потенціалу громади;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впровадження заходів, спрямованих на дерегуляцію підприємницької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діяльності, поліпшення бізнес-клімату.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виконання пріоритетних завдань передбачається здійснити наступні заходи: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створ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ювати</w:t>
      </w:r>
      <w:r>
        <w:rPr>
          <w:rFonts w:ascii="Times New Roman" w:hAnsi="Times New Roman" w:cs="Times New Roman"/>
          <w:sz w:val="28"/>
          <w:szCs w:val="28"/>
        </w:rPr>
        <w:t xml:space="preserve"> щорічно до 250 нових робочих місць, провести в установленому порядку перевірки фінансово-господарської діяльності суб’єктів господарю</w:t>
      </w:r>
      <w:r>
        <w:rPr>
          <w:rFonts w:ascii="Times New Roman" w:hAnsi="Times New Roman" w:cs="Times New Roman"/>
          <w:sz w:val="28"/>
          <w:szCs w:val="28"/>
        </w:rPr>
        <w:t xml:space="preserve">вання щодо дотримання норм законодавства в частині оплати праці у розмірі не менше мінімальної заробітної плати. Очікуваний результат – підвищення рівня зайнятості та соціального забезпечення населення, зростання надходжень податку на доходи фізичних осіб;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інвентаризацію земельних ділянок,</w:t>
      </w:r>
      <w:r>
        <w:rPr>
          <w:rFonts w:ascii="Times New Roman" w:hAnsi="Times New Roman" w:cs="Times New Roman"/>
          <w:sz w:val="28"/>
          <w:szCs w:val="28"/>
        </w:rPr>
        <w:t xml:space="preserve"> перегляд укладених договорів оренди земельних ділянок на предмет відповідності розміру орендної плати нормам Податкового кодексу України, що забезпечить задіяння земельного потенціалу громади для залучення інвестицій, збільшення надходжень плати за землю;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реєстрації фізичних осіб-підприємців у доступній формі та у найкоротші терміни, що очікувано розширить сфери діяльності малого бізнесу, збільшить надходження єдиного податку;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проводити моніторинг податкового боргу платників податків до бюджету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спільно з контролюючими органами  провести претензійно-позовну роботу щодо його зменшення.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Прогнозні показники доходів бюджету сформовані на основі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існуючої податкової бази та реалізації пріоритетних завдань із розширення її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потенціалу. Показники доходів бюджету громади наведені в </w:t>
      </w:r>
      <w:r>
        <w:rPr>
          <w:rFonts w:ascii="Times New Roman" w:hAnsi="Times New Roman" w:cs="Times New Roman"/>
          <w:b/>
          <w:sz w:val="28"/>
          <w:szCs w:val="28"/>
        </w:rPr>
        <w:t xml:space="preserve">додатку 2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прогнозу бюджету.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280" w:type="dxa"/>
        <w:tblBorders/>
        <w:tblLook w:val="04A0" w:firstRow="1" w:lastRow="0" w:firstColumn="1" w:lastColumn="0" w:noHBand="0" w:noVBand="1"/>
      </w:tblPr>
      <w:tblGrid>
        <w:gridCol w:w="799"/>
        <w:gridCol w:w="3179"/>
        <w:gridCol w:w="1060"/>
        <w:gridCol w:w="1062"/>
        <w:gridCol w:w="1060"/>
        <w:gridCol w:w="1060"/>
        <w:gridCol w:w="1060"/>
      </w:tblGrid>
      <w:tr>
        <w:trPr>
          <w:trHeight w:val="81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7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8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Додаток 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до Прогнозу місцевого бюджету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</w:tc>
      </w:tr>
      <w:tr>
        <w:trPr>
          <w:trHeight w:val="76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7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8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Берестинської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 місько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ї територіальної громади на 2027-2029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  <w:t xml:space="preserve"> роки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uk-UA"/>
              </w:rPr>
            </w:r>
          </w:p>
        </w:tc>
      </w:tr>
      <w:tr>
        <w:trPr>
          <w:trHeight w:val="48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 xml:space="preserve">ПОКАЗНИКИ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br/>
              <w:t xml:space="preserve">доходів бюджету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r>
          </w:p>
        </w:tc>
      </w:tr>
      <w:tr>
        <w:trPr>
          <w:trHeight w:val="22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2054000000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</w:tr>
      <w:tr>
        <w:trPr>
          <w:trHeight w:val="37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(код бюджету)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0" w:type="dxa"/>
            <w:vAlign w:val="bottom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(грн)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5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Найменування показника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2025 рік (звіт)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2026 рік (затверджено)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2027 рік (план)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2028 рік (план)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2029 рік (план)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</w:tr>
      <w:tr>
        <w:trPr>
          <w:trHeight w:val="282"/>
        </w:trPr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І. Доходи (без урахування міжбюджетних трансфертів)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Загальний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328 803 200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321 154 160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394 916 273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397 818 048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399 781 581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10000000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Податкові надходження,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321 242 888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315 448 695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390 609 304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393 511 079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395 474 612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11000000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Податки на доходи, податки на прибуток, податки на збільшення ринкової вартості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194 023 970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189 242 616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212 885 425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215 787 199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217 750 733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11010000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Податок та збір на доходи фізичних осіб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193 995 635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187 592 984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212 885 425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215 787 199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217 750 733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11020000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Податок на прибуток підприємств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28 335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1 649 632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13000000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Рентна плата та плата за використання інших природних ресурсів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21 494 063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21 169 315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32 213 059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32 213 059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32 213 059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13010000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Рентна плата за спеціальне використання лісових ресурсів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39 465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21 319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21 319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21 319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13030000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Рентна плата за користування надрами загальнодержавного значення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21 454 598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21 16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9 315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32 191 740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32 191 740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32 191 740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14000000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Внутрішні податки на товари та послуги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34 863 850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33 9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81 892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41 674 651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41 674 652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41 674 651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14020000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Акцизний податок з вироблених в Україні підакцизних товарів (продукції)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1 466 079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1 580 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451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1 958 189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1 958 189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1 958 189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14030000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Акцизний податок з ввезених на митну територію України підакцизних товарів (продукції)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12 473 596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11 9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40 618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17 159 211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17 159 211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17 159 211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14040000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Акцизний податок з реалізації суб’єктами господарювання роздрібної торгівлі підакцизних товарів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20 924 175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20 460 823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22 557 251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22 557 252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22 557 251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18000000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Місцеві податки та збори, що сплачуються (перераховуються) згідно з Податковим кодексом України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70 861 005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71 024 872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103 836 169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103 836 169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103 836 169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18010000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Податок на майно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33 265 991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34 851 138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57 697 356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57 697 356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57 697 356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18030000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Туристичний збір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12 513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6 679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6 679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6 679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18050000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Єдиний податок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37 582 501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36 161 734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46 132 134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46 132 134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46 132 134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20000000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Неподаткові надходження,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7 560 312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5 705 465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4 306 969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4 306 969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4 306 969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21000000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Доходи від власності та підприємницької діяльності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2 491 681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1 466 994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132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21010000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Частина чистого прибу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тку (доходу) державних або комунальних унітарних підприємств та їх об`єднань,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10 968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21080000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надходження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2 480 713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1 468 994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22000000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Адміністративні збори та платежі, доходи від некомерційної господарської діяльності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4 052 524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3 670 471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3 357 969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3 357 969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3 357 969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22010000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Плата за надання адміністративних послуг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2 940 011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2 811 471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2 480 879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2 480 879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2 480 879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22080000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Надходження від орендної плати за користування єдиним майновим комплексом та іншим державним майном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1 111 165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858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875 000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875 000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875 000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22090000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Державне мито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1 348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2 090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2 090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2 090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24000000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неподаткові надходження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1 016 107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568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24030000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Надходження сум кредиторської та депонентської заборгованості підприємств, організацій та установ, щодо яких минув строк позовної давності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183 959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24060000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надходження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832 148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Спеціальний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26 573 574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23 300 090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7 371 457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7 468 712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7 555 078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10000000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Податкові надходження,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709 915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551 000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19000000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податки та збори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709 915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551 000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19010000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Екологічний податок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709 915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551 000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635 000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20000000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Неподаткові надходження,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21 920 226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22 749 090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6 736 457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6 833 712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6 920 078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21000000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Доходи від власності та підприємницької діяльності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92 686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21110000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Надходження коштів від відшкодування втрат сільськогосподарського і лісогосподарського виробництва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92 686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24000000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неподаткові надходження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22 166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24060000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надходження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22 166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25000000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Власні надходження бюджетних установ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21 805 374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22 749 090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6 736 457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6 833 712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6 920 078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25010000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Надходження від плати за послуги, що надаються бюджетними установами згідно із законодавством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579 516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6 587 247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6 736 457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6 833 712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6 920 078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25020000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Інші джерела власних надходжень бюджетних установ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21 225 858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16 161 843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30000000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Доходи від операцій з капіталом,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2 397 009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31000000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Надходження від продажу основного капіталу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1 194 840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5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31030000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Кошти від відчуження майна, що належить Автономній Республіці Крим та майна, що перебуває в комунальній власності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1 194 840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33000000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Кошти від продажу землі і нематеріальних активів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1 202 169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33010000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Кошти від продажу землі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1 202 169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50000000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Цільові фонди, у тому числі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1 546 424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76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50110000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1 546 424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УСЬОГО за розділом I,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355 376 774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344 454 250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402 287 730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405 286 760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407 336 659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загальний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328 803 200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321 154 160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394 916 273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397 818 048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399 781 581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спеціальний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26 573 574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23 300 090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7 371 457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7 468 712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7 555 078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ІI. Трансферти з державного бюджету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Загальний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103 828 170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97 449 000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9 143 100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10 941 200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12 629 600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41020000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Дотації з державного бюджету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11 745 100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9 143 100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10 941 200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12 629 600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Субвенції з державного бюджету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92 083 070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97 449 000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Спеціальний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1 961 800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482 900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41030000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Субвенції з державного бюджету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1 961 800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482 900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УСЬОГО за розділом II,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105 789 970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97 931 900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9 143 100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10 941 200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12 629 600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загаль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103 828 170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97 449 000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9 143 100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10 941 200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12 629 600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спеціальний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1 961 800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482 900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ІII. Трансферти з інших місцевих бюджетів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Загальний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68 099 462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22 462 811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19 692 288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21 426 331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22 865 435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41040000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Дотації з місцевих бюджетів іншим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31 701 303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1 033 350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1 169 200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1 256 900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1 331 000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41050000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Субвенції з місцевих бюджетів іншим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36 398 159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21 429 461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18 523 088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20 169 431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21 534 435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Спеціальний фонд,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8 515 926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40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41050000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Субвенції з місцевих бюджетів іншим місцевим бюджетам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8 515 926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УСЬОГО за розділом III,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76 615 388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22 462 811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19 692 288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21 426 331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22 865 43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загальний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68 099 462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22 462 811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19 692 288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21 426 331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22 865 435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спеціальний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8 515 926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РАЗОМ за розділами I,II,III, у тому числі: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537 782 132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464 848 961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431 123 118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437 654 291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  <w:t xml:space="preserve">442 831 694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загальний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500 730 832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441 065 971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423 751 661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430 185 579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435 276 616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  <w:tr>
        <w:trPr>
          <w:trHeight w:val="282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7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  <w:t xml:space="preserve">спеціальний фонд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37 051 300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23 782 990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7 371 457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7 468 712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  <w:t xml:space="preserve">7 555 078</w:t>
            </w:r>
            <w:r>
              <w:rPr>
                <w:rFonts w:ascii="Times New Roman" w:hAnsi="Times New Roman" w:eastAsia="Times New Roman" w:cs="Times New Roman"/>
                <w:color w:val="000000"/>
                <w:sz w:val="12"/>
                <w:szCs w:val="12"/>
                <w:lang w:eastAsia="uk-UA"/>
              </w:rPr>
            </w:r>
          </w:p>
        </w:tc>
      </w:tr>
    </w:tbl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Основним джерелом формування дохідної частини бюджету громади, як і в попередні періоди, залишатиметься податок на доходи фізичних осіб, що сплачується податковими агентами із доходів платника податку у вигляді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заробітної плати, податок на доходи фізичних осіб, що сплачується податковими агентами, із доходів платника податку інших ніж заробітна плата та інших виплат.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Прогноз надходжень податку на доходи фізичних осіб уточнено з урахуванням фактичного ви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конання бюджету, прогнозного зростання фонду оплати праці, зміни рівня мінімальної заробітної плати, індексації заробітної плати працівників бюджетної сфери, очікуваної динаміки чисельності працюючих та діяльності найбільших платників податку на території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міської територіальної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громади. Також враховано зміни у бюджетному законодавстві, щодо </w:t>
      </w:r>
      <w:r>
        <w:rPr>
          <w:rFonts w:ascii="Times New Roman" w:hAnsi="Times New Roman" w:cs="Times New Roman"/>
          <w:sz w:val="28"/>
          <w:szCs w:val="28"/>
        </w:rPr>
        <w:t xml:space="preserve">зменшення нормативу зарахування </w:t>
      </w:r>
      <w:r>
        <w:rPr>
          <w:rFonts w:ascii="Times New Roman" w:hAnsi="Times New Roman" w:cs="Times New Roman"/>
          <w:sz w:val="28"/>
          <w:szCs w:val="28"/>
        </w:rPr>
        <w:t xml:space="preserve">податку на доходи фізичних осіб до бюджету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>
        <w:rPr>
          <w:rFonts w:ascii="Times New Roman" w:hAnsi="Times New Roman" w:cs="Times New Roman"/>
          <w:sz w:val="28"/>
          <w:szCs w:val="28"/>
        </w:rPr>
        <w:t xml:space="preserve">их громад із 64% до 60% та сформовано прогноз на 2027-2029 роки без </w:t>
      </w:r>
      <w:r>
        <w:rPr>
          <w:rFonts w:ascii="Times New Roman" w:hAnsi="Times New Roman" w:cs="Times New Roman"/>
          <w:sz w:val="28"/>
          <w:szCs w:val="28"/>
        </w:rPr>
        <w:t xml:space="preserve">податку на доходи фізичних осіб із грошового забезпечення військовослужбовців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який</w:t>
      </w:r>
      <w:r>
        <w:rPr>
          <w:rFonts w:ascii="Times New Roman" w:hAnsi="Times New Roman" w:cs="Times New Roman"/>
          <w:sz w:val="28"/>
          <w:szCs w:val="28"/>
        </w:rPr>
        <w:t xml:space="preserve"> спрямовується </w:t>
      </w:r>
      <w:r>
        <w:rPr>
          <w:rFonts w:ascii="Times New Roman" w:hAnsi="Times New Roman" w:cs="Times New Roman"/>
          <w:sz w:val="28"/>
          <w:szCs w:val="28"/>
        </w:rPr>
        <w:t xml:space="preserve">до спеціа</w:t>
      </w:r>
      <w:r>
        <w:rPr>
          <w:rFonts w:ascii="Times New Roman" w:hAnsi="Times New Roman" w:cs="Times New Roman"/>
          <w:sz w:val="28"/>
          <w:szCs w:val="28"/>
        </w:rPr>
        <w:t xml:space="preserve">льного фонду державного бюджету.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Прогнозний обсяг єдиного податку на 2027-2029 роки розраховано з урахуванням положень Податкового кодексу України, фактичних надходжень попередніх років, очікуваного виконання поточного року, кількості платників, за ставками, встановленими рішенням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від 22 червня 2021 року № 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</w:t>
      </w:r>
      <w:r>
        <w:rPr>
          <w:rFonts w:ascii="Times New Roman" w:hAnsi="Times New Roman" w:cs="Times New Roman"/>
          <w:sz w:val="28"/>
          <w:szCs w:val="28"/>
        </w:rPr>
        <w:t xml:space="preserve"> (зі змінами). Зниж</w:t>
      </w:r>
      <w:r>
        <w:rPr>
          <w:rFonts w:ascii="Times New Roman" w:hAnsi="Times New Roman" w:cs="Times New Roman"/>
          <w:sz w:val="28"/>
          <w:szCs w:val="28"/>
        </w:rPr>
        <w:t xml:space="preserve">ення надходжень по єдиному податку прогнозується у середньостроковому періоді на 2027 рік на 2,3%, у 2028 - 2029 роках заплановано на рівні 2027 року, що обумовлено врахуванням фактичної динаміки надходжень та враховано ризики, пов’язані з функціонуванням </w:t>
      </w:r>
      <w:r>
        <w:rPr>
          <w:rFonts w:ascii="Times New Roman" w:hAnsi="Times New Roman" w:cs="Times New Roman"/>
          <w:sz w:val="28"/>
          <w:szCs w:val="28"/>
        </w:rPr>
        <w:t xml:space="preserve">суб’єктів малого підприємництва громади в умовах воєнного стану, зокрема припинення діяльності окремих фізичних осіб-підприємців та скорочення обсягів господарської діяльності.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Розрахунок прогнозної суми плати за землю на 2027-2029 роки проведено за підсумками фактичних надходжень за попередні роки, за ставками, визначеними рішеннями міської ради, щодо земельного податку від 22 червня 2021 року № 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 з урахуванням перегляду договорів оренди земельних ділянок в частині збільшення розміру орендної плати, поновлення строку дії договорів оренди, прийняття рішень про встановлення факту користування земельною ділянкою без оформлення </w:t>
      </w:r>
      <w:r>
        <w:rPr>
          <w:rFonts w:ascii="Times New Roman" w:hAnsi="Times New Roman" w:cs="Times New Roman"/>
          <w:sz w:val="28"/>
          <w:szCs w:val="28"/>
        </w:rPr>
        <w:t xml:space="preserve">правовстановлювальних</w:t>
      </w:r>
      <w:r>
        <w:rPr>
          <w:rFonts w:ascii="Times New Roman" w:hAnsi="Times New Roman" w:cs="Times New Roman"/>
          <w:sz w:val="28"/>
          <w:szCs w:val="28"/>
        </w:rPr>
        <w:t xml:space="preserve"> документів, погашення податкового боргу. Темпи зниження по платі за землю прогнозуються у 2027 році на рівні 1%, у</w:t>
      </w:r>
      <w:r>
        <w:rPr>
          <w:rFonts w:ascii="Times New Roman" w:hAnsi="Times New Roman" w:cs="Times New Roman"/>
          <w:sz w:val="28"/>
          <w:szCs w:val="28"/>
        </w:rPr>
        <w:t xml:space="preserve"> 2028 - 2029 роках заплановано на рівні 2027 року так як при прогнозуванні враховано збереження існуючої кількості землекористувачів та орендарів земельних ділянок, а також застосовано консервативний підхід до оцінки доходів бюджету в умовах воєнного часу.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Податок на нерухоме майно, відмінне від земельної ділянки на 2027-2029 роки прогнозується з урахуванням темпів зростання мінімальної заробітної плати та ставок податку, які вста</w:t>
      </w:r>
      <w:r>
        <w:rPr>
          <w:rFonts w:ascii="Times New Roman" w:hAnsi="Times New Roman" w:cs="Times New Roman"/>
          <w:sz w:val="28"/>
          <w:szCs w:val="28"/>
        </w:rPr>
        <w:t xml:space="preserve">новлені рішенням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від 22 червня 2021 року № 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змінами). Росту по податку у середньостроковому періоді не передбачено, так як не очікується суттєвого збільшення кількості об’єктів житлової та нежитлової нерухомості.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Прогнозні надходження акцизного податку на 2027-2029 роки розраховані виходячи з фактичних надходжень попередніх рокі</w:t>
      </w:r>
      <w:r>
        <w:rPr>
          <w:rFonts w:ascii="Times New Roman" w:hAnsi="Times New Roman" w:cs="Times New Roman"/>
          <w:sz w:val="28"/>
          <w:szCs w:val="28"/>
        </w:rPr>
        <w:t xml:space="preserve">в, очікуваного виконання 2026 року та  з урахуванням вимог діючого законодавства щодо спрямування частини акцизного податку з виробленого в Україні та ввезеного на митну територію України пального в розмірі 13,44 відсотка до бюджетів територіальних громад.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Відсутність приросту акцизного податку на 2027-2029 роки обумовлено відсутністю об’єктивних передумов для збільшення обсягів реалізації підакцизних товарів на території громади. Таким чином при прогнозуванні податку застосовано консервативний підхід, що </w:t>
      </w:r>
      <w:r>
        <w:rPr>
          <w:rFonts w:ascii="Times New Roman" w:hAnsi="Times New Roman" w:cs="Times New Roman"/>
          <w:sz w:val="28"/>
          <w:szCs w:val="28"/>
        </w:rPr>
        <w:t xml:space="preserve">грунтується</w:t>
      </w:r>
      <w:r>
        <w:rPr>
          <w:rFonts w:ascii="Times New Roman" w:hAnsi="Times New Roman" w:cs="Times New Roman"/>
          <w:sz w:val="28"/>
          <w:szCs w:val="28"/>
        </w:rPr>
        <w:t xml:space="preserve"> на реальних показниках виконання бюджету та забезпечує достовірність прогнозних розрахунків.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Рентна плата за користування надрами для видобування природного газу та газового конденсату займає чималу частку надходжень загального фонду бюджету громади. </w:t>
      </w:r>
      <w:r>
        <w:rPr>
          <w:rFonts w:ascii="IBM Plex Serif" w:hAnsi="IBM Plex Serif"/>
          <w:sz w:val="28"/>
          <w:szCs w:val="28"/>
          <w:shd w:val="clear" w:color="auto" w:fill="ffffff"/>
        </w:rPr>
        <w:t xml:space="preserve">Відповідно до чинних норм Бюджетного кодексу України</w:t>
      </w:r>
      <w:r>
        <w:rPr>
          <w:rFonts w:ascii="Times New Roman" w:hAnsi="Times New Roman" w:cs="Times New Roman"/>
          <w:sz w:val="28"/>
          <w:szCs w:val="28"/>
        </w:rPr>
        <w:t xml:space="preserve"> до бюджету громади буде надходити 3%.  Прогноз по д</w:t>
      </w:r>
      <w:r>
        <w:rPr>
          <w:rFonts w:ascii="Times New Roman" w:hAnsi="Times New Roman" w:cs="Times New Roman"/>
          <w:sz w:val="28"/>
          <w:szCs w:val="28"/>
        </w:rPr>
        <w:t xml:space="preserve">аному податку розрахований за підсумками фактичних надходжень поточного року. Середньорічного приросту податку не прогнозується у зв’язку з відсутністю інформації про збільшення обсягів видобутку природного газу та газового конденсату на території громади.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по податковим та неподатковим надходженням спеціального фонду в частині екологічного податку та власних надходжень бюджетних установ  сформовано, виходячи з фактичних надходжень попередніх років, очікуваного виконання у 2026 році.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Впровадження послідовної та передбачуваної податкової політики на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території громади в середньостроковому періоді дозволить забезпечити: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середньорічний приріст доходів бюджету на 2 %;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зростання бюджетоутворюючих податків, а саме податок та збір на доходи фізичних осіб – на 2,3</w:t>
      </w:r>
      <w:r>
        <w:rPr>
          <w:rFonts w:ascii="Times New Roman" w:hAnsi="Times New Roman" w:cs="Times New Roman"/>
          <w:sz w:val="28"/>
          <w:szCs w:val="28"/>
        </w:rPr>
        <w:t xml:space="preserve">%;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зменшення податкового боргу.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сприяння розвитку господарського потенціалу суб’єктів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господарювання (комунальних підприємств) та малого і середнього бізнесу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рішеннями міської ради надані пільги фізичним та юридичним особам зі сплати земельного податку (рішення від 22 червня 2021 року № 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cs="Times New Roman"/>
          <w:sz w:val="28"/>
          <w:szCs w:val="28"/>
        </w:rPr>
        <w:t xml:space="preserve">( зі змінами ) та зі сплати податку на нерухоме майно, відмінне від земельної ділянки (рішення від 22 червня 2021 року № 840-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cs="Times New Roman"/>
          <w:sz w:val="28"/>
          <w:szCs w:val="28"/>
        </w:rPr>
        <w:t xml:space="preserve">9(зі змінами).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Прогнозні втрати бюджету міської територіальної громади внаслідок наданих пільг зі сплати податків та зборів щорічно розрахунково становитимуть 1987,0 тис грн. по земельному податку.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5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Таким чином п</w:t>
      </w:r>
      <w:r>
        <w:rPr>
          <w:sz w:val="28"/>
          <w:szCs w:val="28"/>
        </w:rPr>
        <w:t xml:space="preserve">рогноз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доходів</w:t>
      </w:r>
      <w:r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територіальної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громади</w:t>
      </w:r>
      <w:r>
        <w:rPr>
          <w:sz w:val="28"/>
          <w:szCs w:val="28"/>
        </w:rPr>
        <w:t xml:space="preserve"> на 2027–2029 роки сформовано на принципах </w:t>
      </w:r>
      <w:r>
        <w:rPr>
          <w:sz w:val="28"/>
          <w:szCs w:val="28"/>
        </w:rPr>
        <w:t xml:space="preserve">обґрунтованості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реалістичності</w:t>
      </w:r>
      <w:r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збалансованості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Заплановані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показники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забезпечують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фінансову</w:t>
      </w:r>
      <w:r>
        <w:rPr>
          <w:sz w:val="28"/>
          <w:szCs w:val="28"/>
        </w:rPr>
        <w:t xml:space="preserve"> основу для </w:t>
      </w:r>
      <w:r>
        <w:rPr>
          <w:sz w:val="28"/>
          <w:szCs w:val="28"/>
        </w:rPr>
        <w:t xml:space="preserve">виконання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власних</w:t>
      </w:r>
      <w:r>
        <w:rPr>
          <w:sz w:val="28"/>
          <w:szCs w:val="28"/>
        </w:rPr>
        <w:t xml:space="preserve"> і </w:t>
      </w:r>
      <w:r>
        <w:rPr>
          <w:sz w:val="28"/>
          <w:szCs w:val="28"/>
        </w:rPr>
        <w:t xml:space="preserve">делегованих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повноважень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місцевого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самоврядування</w:t>
      </w:r>
      <w:r>
        <w:rPr>
          <w:sz w:val="28"/>
          <w:szCs w:val="28"/>
        </w:rPr>
        <w:t xml:space="preserve">, а </w:t>
      </w:r>
      <w:r>
        <w:rPr>
          <w:sz w:val="28"/>
          <w:szCs w:val="28"/>
        </w:rPr>
        <w:t xml:space="preserve">також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спрямовані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збереження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фінансової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стабільності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громади</w:t>
      </w:r>
      <w:r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її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сталого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соціально-економічного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розвитку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 w:after="0" w:afterAutospacing="0"/>
        <w:ind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V. Показники фінансування бюджету, показники місцевого боргу, показники надання місцевих гарантій, обсягу гарантійних зобов’язань та гарантованого Автономною Республікою Крим, обласною радою, міською, селищною чи сільською територіальною громадою боргу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 середньостроковій перспективі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показники фінансування бюджету збільшуються за рахунок доходів загального фонду бюджету та </w:t>
      </w:r>
      <w:r>
        <w:rPr>
          <w:rFonts w:ascii="Times New Roman" w:hAnsi="Times New Roman" w:cs="Times New Roman"/>
          <w:sz w:val="28"/>
          <w:szCs w:val="28"/>
        </w:rPr>
        <w:t xml:space="preserve">наведені у додатку 3  до Прогнозу.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Фінансування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за рахунок запозичень не передбачено на 2027-2029 роки.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VI. Показники видатків бюджету та надання кредитів з бюджету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Передбачувана і послід</w:t>
      </w:r>
      <w:r>
        <w:rPr>
          <w:rFonts w:ascii="Times New Roman" w:hAnsi="Times New Roman" w:cs="Times New Roman"/>
          <w:sz w:val="28"/>
          <w:szCs w:val="28"/>
        </w:rPr>
        <w:t xml:space="preserve">овна бюджетна політика</w:t>
      </w:r>
      <w:r>
        <w:rPr>
          <w:rFonts w:ascii="Times New Roman" w:hAnsi="Times New Roman" w:cs="Times New Roman"/>
          <w:sz w:val="28"/>
          <w:szCs w:val="28"/>
        </w:rPr>
        <w:t xml:space="preserve"> на середньостроковий періо</w:t>
      </w:r>
      <w:r>
        <w:rPr>
          <w:rFonts w:ascii="Times New Roman" w:hAnsi="Times New Roman" w:cs="Times New Roman"/>
          <w:sz w:val="28"/>
          <w:szCs w:val="28"/>
        </w:rPr>
        <w:t xml:space="preserve">д є фундаментом</w:t>
      </w:r>
      <w:r>
        <w:rPr>
          <w:rFonts w:ascii="Times New Roman" w:hAnsi="Times New Roman" w:cs="Times New Roman"/>
          <w:sz w:val="28"/>
          <w:szCs w:val="28"/>
        </w:rPr>
        <w:t xml:space="preserve"> стабільності, </w:t>
      </w:r>
      <w:r>
        <w:rPr>
          <w:rFonts w:ascii="Times New Roman" w:hAnsi="Times New Roman" w:cs="Times New Roman"/>
          <w:sz w:val="28"/>
          <w:szCs w:val="28"/>
        </w:rPr>
        <w:t xml:space="preserve">що дає змогу</w:t>
      </w:r>
      <w:r>
        <w:rPr>
          <w:rFonts w:ascii="Times New Roman" w:hAnsi="Times New Roman" w:cs="Times New Roman"/>
          <w:sz w:val="28"/>
          <w:szCs w:val="28"/>
        </w:rPr>
        <w:t xml:space="preserve"> ефективно розподіляти обмежені ресу</w:t>
      </w:r>
      <w:r>
        <w:rPr>
          <w:rFonts w:ascii="Times New Roman" w:hAnsi="Times New Roman" w:cs="Times New Roman"/>
          <w:sz w:val="28"/>
          <w:szCs w:val="28"/>
        </w:rPr>
        <w:t xml:space="preserve">рси в умовах воєнного стану, </w:t>
      </w:r>
      <w:r>
        <w:rPr>
          <w:rFonts w:ascii="Times New Roman" w:hAnsi="Times New Roman" w:cs="Times New Roman"/>
          <w:sz w:val="28"/>
          <w:szCs w:val="28"/>
        </w:rPr>
        <w:t xml:space="preserve">формує чіткі орієнтири для міжнародних партнерів та приватних інвесторів, бізнесу та кожного громадянина.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Визначальним орієнтиром у середньостроковому періоді під час формування видаткової частини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є досягне</w:t>
      </w:r>
      <w:r>
        <w:rPr>
          <w:rFonts w:ascii="Times New Roman" w:hAnsi="Times New Roman" w:cs="Times New Roman"/>
          <w:sz w:val="28"/>
          <w:szCs w:val="28"/>
        </w:rPr>
        <w:t xml:space="preserve">ння цілей державної політики в межах ресурсних можливостей бюджету територіальної громади, спрямовування коштів на заходи відповідно до їх пріоритетності та актуальності, а також з урахуванням економного використання коштів за діючими бюджетними програмами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Прогнозні показники видатків та креди</w:t>
      </w:r>
      <w:r>
        <w:rPr>
          <w:rFonts w:ascii="Times New Roman" w:hAnsi="Times New Roman" w:cs="Times New Roman"/>
          <w:sz w:val="28"/>
          <w:szCs w:val="28"/>
        </w:rPr>
        <w:t xml:space="preserve">тування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</w:t>
      </w:r>
      <w:r>
        <w:rPr>
          <w:rFonts w:ascii="Times New Roman" w:hAnsi="Times New Roman" w:cs="Times New Roman"/>
          <w:sz w:val="28"/>
          <w:szCs w:val="28"/>
        </w:rPr>
        <w:t xml:space="preserve">ї територіальної громади на 2027 – 2029</w:t>
      </w:r>
      <w:r>
        <w:rPr>
          <w:rFonts w:ascii="Times New Roman" w:hAnsi="Times New Roman" w:cs="Times New Roman"/>
          <w:sz w:val="28"/>
          <w:szCs w:val="28"/>
        </w:rPr>
        <w:t xml:space="preserve"> роки відображені на підставі поданих головними розпорядниками коштів бюджетних пропозицій до Прогнозу, а саме: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граничні показники видатків бюджету та надання кредитів з бюджету головним розпорядникам коштів – додаток 6;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граничні показники видатків бюджету за Типовою програмною класифікацією видатків та кредитування місцевого бюджету – додаток 7.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обсяг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регіону (територіальної громади) – додаток 9.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процесі формування видаткової частини бюджету враховані прогнозні розміри мінімальної заробітної плати та посадового окладу працівника першого тарифного розря</w:t>
      </w:r>
      <w:r>
        <w:rPr>
          <w:rFonts w:ascii="Times New Roman" w:hAnsi="Times New Roman" w:cs="Times New Roman"/>
          <w:sz w:val="28"/>
          <w:szCs w:val="28"/>
        </w:rPr>
        <w:t xml:space="preserve">ду Єдиної тарифної сітки на 2027-2029</w:t>
      </w:r>
      <w:r>
        <w:rPr>
          <w:rFonts w:ascii="Times New Roman" w:hAnsi="Times New Roman" w:cs="Times New Roman"/>
          <w:sz w:val="28"/>
          <w:szCs w:val="28"/>
        </w:rPr>
        <w:t xml:space="preserve"> роки відповідно до Бюджетної декларації, схва</w:t>
      </w:r>
      <w:r>
        <w:rPr>
          <w:rFonts w:ascii="Times New Roman" w:hAnsi="Times New Roman" w:cs="Times New Roman"/>
          <w:sz w:val="28"/>
          <w:szCs w:val="28"/>
        </w:rPr>
        <w:t xml:space="preserve">леною Верховною Радою України 17 червня 2026</w:t>
      </w:r>
      <w:r>
        <w:rPr>
          <w:rFonts w:ascii="Times New Roman" w:hAnsi="Times New Roman" w:cs="Times New Roman"/>
          <w:sz w:val="28"/>
          <w:szCs w:val="28"/>
        </w:rPr>
        <w:t xml:space="preserve"> року: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мінімальної заробітної плати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1 січня 2027 р. у розмірі 9 546 гривень;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1 січня 2028 р. у розмірі 10 377 гривень;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 1 січня 2029 р. у розмірі 11 114 гривень;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посадового окладу працівника І тарифного розряду Єдиної тарифної сітки: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 1 січня 2027 р. у розмірі 3 819 гривень;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 1 січня 2028 р. у розмірі 4 151 гривня;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1 січня 2029 р. у розмірі 4 446 гривень.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</w:t>
      </w:r>
      <w:r>
        <w:rPr>
          <w:rFonts w:ascii="Times New Roman" w:hAnsi="Times New Roman" w:cs="Times New Roman"/>
          <w:sz w:val="28"/>
          <w:szCs w:val="28"/>
        </w:rPr>
        <w:t xml:space="preserve">новлених законодавством України умов оплати праці та розміру мінімальної заробітної плати, на проведення розрахунків за електричну та теплову енергію, водопостачання, водовідведення, природний газ та послуги зв'язку, які споживаються бюджетними установами.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Враховані також обсяги видатків, необхідні для забезпечення стабільної роботи установ та закладів соціально – культурної сфери, надання соціальних гарантій для </w:t>
      </w:r>
      <w:r>
        <w:rPr>
          <w:rFonts w:ascii="Times New Roman" w:hAnsi="Times New Roman" w:cs="Times New Roman"/>
          <w:sz w:val="28"/>
          <w:szCs w:val="28"/>
        </w:rPr>
        <w:t xml:space="preserve">малозахищених</w:t>
      </w:r>
      <w:r>
        <w:rPr>
          <w:rFonts w:ascii="Times New Roman" w:hAnsi="Times New Roman" w:cs="Times New Roman"/>
          <w:sz w:val="28"/>
          <w:szCs w:val="28"/>
        </w:rPr>
        <w:t xml:space="preserve"> категорій громадян, підтримки в належному стані об’єктів житлово – комунального господарства, інших об’єктів інфраструктури міста,</w:t>
      </w:r>
      <w:r>
        <w:rPr>
          <w:rFonts w:ascii="Times New Roman" w:hAnsi="Times New Roman" w:cs="Times New Roman"/>
          <w:sz w:val="28"/>
          <w:szCs w:val="28"/>
        </w:rPr>
        <w:t xml:space="preserve"> поточний ремонт доріг,</w:t>
      </w:r>
      <w:r>
        <w:rPr>
          <w:rFonts w:ascii="Times New Roman" w:hAnsi="Times New Roman" w:cs="Times New Roman"/>
          <w:sz w:val="28"/>
          <w:szCs w:val="28"/>
        </w:rPr>
        <w:t xml:space="preserve"> виконання в м</w:t>
      </w:r>
      <w:r>
        <w:rPr>
          <w:rFonts w:ascii="Times New Roman" w:hAnsi="Times New Roman" w:cs="Times New Roman"/>
          <w:sz w:val="28"/>
          <w:szCs w:val="28"/>
        </w:rPr>
        <w:t xml:space="preserve">ежах фінансових можливостей міс</w:t>
      </w:r>
      <w:r>
        <w:rPr>
          <w:rFonts w:ascii="Times New Roman" w:hAnsi="Times New Roman" w:cs="Times New Roman"/>
          <w:sz w:val="28"/>
          <w:szCs w:val="28"/>
        </w:rPr>
        <w:t xml:space="preserve">цевих програм.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Освіта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Цілі державної політики у сфері освіти реалізуються головними розпорядниками бюджетних коштів - відділ освіти, відділ культури, туризму, молоді та спорту (додаток 6) та у середньостроковій перспективі будуть направлені на: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блаштування</w:t>
      </w:r>
      <w:r>
        <w:rPr>
          <w:rFonts w:ascii="Times New Roman" w:hAnsi="Times New Roman" w:cs="Times New Roman"/>
          <w:sz w:val="28"/>
          <w:szCs w:val="28"/>
        </w:rPr>
        <w:t xml:space="preserve"> захисних споруд цивільного захисту (</w:t>
      </w:r>
      <w:r>
        <w:rPr>
          <w:rFonts w:ascii="Times New Roman" w:hAnsi="Times New Roman" w:cs="Times New Roman"/>
          <w:sz w:val="28"/>
          <w:szCs w:val="28"/>
        </w:rPr>
        <w:t xml:space="preserve">укриттів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закладах</w:t>
      </w:r>
      <w:r>
        <w:rPr>
          <w:rFonts w:ascii="Times New Roman" w:hAnsi="Times New Roman" w:cs="Times New Roman"/>
          <w:sz w:val="28"/>
          <w:szCs w:val="28"/>
        </w:rPr>
        <w:t xml:space="preserve"> та установах освіти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учасний освітній простір та якісний зміст: лабораторії, майстерні, кабінети тощо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</w:t>
      </w:r>
      <w:r>
        <w:rPr>
          <w:rFonts w:ascii="Times New Roman" w:hAnsi="Times New Roman" w:cs="Times New Roman"/>
          <w:sz w:val="28"/>
          <w:szCs w:val="28"/>
        </w:rPr>
        <w:t xml:space="preserve">итлові простори: розвиток та модернізація пансіонів та гуртожитків закладів освіти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абезпечення доступу до якісного та безпечного харчування у закладах освіти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шляхом розвитку сучасної інфраструктури </w:t>
      </w:r>
      <w:r>
        <w:rPr>
          <w:rFonts w:ascii="Times New Roman" w:hAnsi="Times New Roman" w:cs="Times New Roman"/>
          <w:sz w:val="28"/>
          <w:szCs w:val="28"/>
        </w:rPr>
        <w:t xml:space="preserve">їдалень</w:t>
      </w:r>
      <w:r>
        <w:rPr>
          <w:rFonts w:ascii="Times New Roman" w:hAnsi="Times New Roman" w:cs="Times New Roman"/>
          <w:sz w:val="28"/>
          <w:szCs w:val="28"/>
        </w:rPr>
        <w:t xml:space="preserve"> (харчоблоків)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нергоефективність та енергонезалежність будівель закладів та установ освіти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еконструкція, відновлення, ремонт та нове будівництво інфраструктури закладів освіти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творення умов для рівного доступу до освіти шляхом розвитку інфраструктури перевезень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Основні результати, яких планується досягти: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створення нового освітнього середовища, яке відповідає вимогам сьогодення;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доступної дошкільної, загальної середньої та позашкільної освіти з урахуванням реалій сьогодення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Реалізація освітніх послуг буде здійснюватися через існуючу мережу освітніх закладів, яка включає 5 заклади дошкільної освіти, 9 установ загальної середньої освіти, 2 установи позашкільної освіти, </w:t>
      </w:r>
      <w:r>
        <w:rPr>
          <w:rFonts w:ascii="Times New Roman" w:hAnsi="Times New Roman" w:cs="Times New Roman"/>
          <w:sz w:val="28"/>
          <w:szCs w:val="28"/>
        </w:rPr>
        <w:t xml:space="preserve">інклюзивно</w:t>
      </w:r>
      <w:r>
        <w:rPr>
          <w:rFonts w:ascii="Times New Roman" w:hAnsi="Times New Roman" w:cs="Times New Roman"/>
          <w:sz w:val="28"/>
          <w:szCs w:val="28"/>
        </w:rPr>
        <w:t xml:space="preserve">-ресурсний центр та школа естетичного виховання.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Охорона здоров’я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Головним</w:t>
      </w:r>
      <w:r>
        <w:rPr>
          <w:rFonts w:ascii="Times New Roman" w:hAnsi="Times New Roman" w:cs="Times New Roman"/>
          <w:sz w:val="28"/>
          <w:szCs w:val="28"/>
        </w:rPr>
        <w:t xml:space="preserve"> пріоритетом розвитку сфери охорони здоров`я є забезпечення населення доступною, якісною і безоплатною медичною допомогою.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середньостроковій перспективі у сфері охорони здоров’я </w:t>
      </w:r>
      <w:r>
        <w:rPr>
          <w:rFonts w:ascii="Times New Roman" w:hAnsi="Times New Roman" w:cs="Times New Roman"/>
          <w:sz w:val="28"/>
          <w:szCs w:val="28"/>
        </w:rPr>
        <w:t xml:space="preserve">Красноградська</w:t>
      </w:r>
      <w:r>
        <w:rPr>
          <w:rFonts w:ascii="Times New Roman" w:hAnsi="Times New Roman" w:cs="Times New Roman"/>
          <w:sz w:val="28"/>
          <w:szCs w:val="28"/>
        </w:rPr>
        <w:t xml:space="preserve"> міська територіальна громада орієнтується </w:t>
      </w:r>
      <w:r>
        <w:rPr>
          <w:rFonts w:ascii="Times New Roman" w:hAnsi="Times New Roman" w:cs="Times New Roman"/>
          <w:sz w:val="28"/>
          <w:szCs w:val="28"/>
        </w:rPr>
        <w:t xml:space="preserve">на з</w:t>
      </w:r>
      <w:r>
        <w:rPr>
          <w:rFonts w:ascii="Times New Roman" w:hAnsi="Times New Roman" w:cs="Times New Roman"/>
          <w:sz w:val="28"/>
          <w:szCs w:val="28"/>
        </w:rPr>
        <w:t xml:space="preserve">абезпечення доступу до якісної медичної допомоги шляхом розбудови й модернізації об'єктів медичної інфраструктури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Фінансова підтримка Комунального некомерційного підприємства “Берестинська міська лікарня” та Комунального некомерційного підприємства “Берестинський центр первинної медико-санітарної допомоги” здійснюватиметься за рахунок коштів</w:t>
      </w:r>
      <w:r>
        <w:rPr>
          <w:rFonts w:ascii="Times New Roman" w:hAnsi="Times New Roman" w:cs="Times New Roman"/>
          <w:sz w:val="28"/>
          <w:szCs w:val="28"/>
        </w:rPr>
        <w:t xml:space="preserve"> бюджету громади та</w:t>
      </w:r>
      <w:r>
        <w:rPr>
          <w:rFonts w:ascii="Times New Roman" w:hAnsi="Times New Roman" w:cs="Times New Roman"/>
          <w:sz w:val="28"/>
          <w:szCs w:val="28"/>
        </w:rPr>
        <w:t xml:space="preserve"> з бюджету Наталинської сільської ради.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Основні результати, яких планується досягти: 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підвищення рівня медичного обслуговування населення;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запровадження нових підходів до організації роботи закладів охорони здоров’я та їх фінансового забезпечення;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подальший розвиток системи медичного обслуговування населення та реформування системи охорони здоров’я;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зниження рівнів загальної захворюваності населення.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Соціальний захист та соціальне забезпечення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Ключовим напрямом</w:t>
      </w:r>
      <w:r>
        <w:rPr>
          <w:rFonts w:ascii="Times New Roman" w:hAnsi="Times New Roman" w:cs="Times New Roman"/>
          <w:sz w:val="28"/>
          <w:szCs w:val="28"/>
        </w:rPr>
        <w:t xml:space="preserve"> у сфері соціального захисту та соціального забезпечення є реалізація в межах визначених законодавством прав мешканців </w:t>
      </w:r>
      <w:r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в сфері соціального захисту здійснення нагляду за додержанням вимог законодавства у цій сфері, виконання відповідних державних і місцевих програм соціального захисту, надання якісних соціальних послуг.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рахунок коштів бюджету міської територіальної громади у середньостроковому періоді планується утримувати 4 установ та закладів соціального захисту: Територіальний центр соціального обслуговування (надання соціальних послуг)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Комунальний заклад Центр соціальної підтримки дітей та сімей “Надія” м. Берестин, Комунальний заклад “Молодіжний центр”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ради, Комунальний заклад “Берестинський центр соціальних служб”.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Завданнями на 2026-2028 роки є: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прозорість та доступність в отриманні соціальної підтримки; 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захисту прав дитини, у тому числі шляхом розвитку сімейних та інших форм виховання дітей, наближених до сімейних, забезпечення житлом дітей-сиріт, дітей, позбавлених батьківського піклування, осіб з їх числа;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удосконалення механізму запобігання та протидії домашньому насильству та насильству за ознакою статі в умовах децентралізації з урахуванням міжнародних стандартів.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Основні результати, яких планується досягти: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охоплення соціальним захистом максимальної кількості сімей та малозабезпечених громадян, які потребують підтримки місцевої влади, фінансової підтримки на лікування військовослужбовцям, сім'ям загиблих військовослужбовців, на встановлення пам'ятних знаків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Культура і туризм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середньостроковій перспективі у сфері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Красноградська</w:t>
      </w:r>
      <w:r>
        <w:rPr>
          <w:rFonts w:ascii="Times New Roman" w:hAnsi="Times New Roman" w:cs="Times New Roman"/>
          <w:sz w:val="28"/>
          <w:szCs w:val="28"/>
        </w:rPr>
        <w:t xml:space="preserve"> міська територіальна громада створює умови для творчої самореалізації мешканок і мешканців громади.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Протягом 2027-2029</w:t>
      </w:r>
      <w:r>
        <w:rPr>
          <w:rFonts w:ascii="Times New Roman" w:hAnsi="Times New Roman" w:cs="Times New Roman"/>
          <w:sz w:val="28"/>
          <w:szCs w:val="28"/>
        </w:rPr>
        <w:t xml:space="preserve"> років планується досягти запровадження системи державних стандартів щодо надання культурних послуг населенню. </w:t>
      </w:r>
      <w:r>
        <w:t xml:space="preserve"> </w:t>
      </w:r>
      <w:r>
        <w:rPr>
          <w:lang w:val="ru-RU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Фізична культура та спорт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Основним </w:t>
      </w:r>
      <w:r>
        <w:rPr>
          <w:rFonts w:ascii="Times New Roman" w:hAnsi="Times New Roman" w:cs="Times New Roman"/>
          <w:sz w:val="28"/>
          <w:szCs w:val="28"/>
        </w:rPr>
        <w:t xml:space="preserve">пріорітетом</w:t>
      </w:r>
      <w:r>
        <w:rPr>
          <w:rFonts w:ascii="Times New Roman" w:hAnsi="Times New Roman" w:cs="Times New Roman"/>
          <w:sz w:val="28"/>
          <w:szCs w:val="28"/>
        </w:rPr>
        <w:t xml:space="preserve"> міської громади є розвиток фізичної культури та спорту, створення можливостей для самореалізації та розвитку потенціалу молоді.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Протягом 2027-2029</w:t>
      </w:r>
      <w:r>
        <w:rPr>
          <w:rFonts w:ascii="Times New Roman" w:hAnsi="Times New Roman" w:cs="Times New Roman"/>
          <w:sz w:val="28"/>
          <w:szCs w:val="28"/>
        </w:rPr>
        <w:t xml:space="preserve"> років планується досягти наступних результатів: створення  умов для залучення широких верств населення до масового спорту; 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удосконалення механізму утримання мережі сучасних спортивних споруд;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створення стимулів для здорового способу життя й здорових умов праці шляхом розвитку інфраструктури для занять масовим спортом та активного відпочинку.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Житлово-комунальне господарство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Територіальна громада сприятиме розвитку житлово-комунального господарства міста, благоустрою, а також у сфері забезпечення ефективного функціонування </w:t>
      </w:r>
      <w:r>
        <w:rPr>
          <w:rFonts w:ascii="Times New Roman" w:hAnsi="Times New Roman" w:cs="Times New Roman"/>
          <w:sz w:val="28"/>
          <w:szCs w:val="28"/>
        </w:rPr>
        <w:t xml:space="preserve">вулично</w:t>
      </w:r>
      <w:r>
        <w:rPr>
          <w:rFonts w:ascii="Times New Roman" w:hAnsi="Times New Roman" w:cs="Times New Roman"/>
          <w:sz w:val="28"/>
          <w:szCs w:val="28"/>
        </w:rPr>
        <w:t xml:space="preserve">-дорожньої мережі.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Пріоритетними напрямками розвитку житлово-комунального господарства є задоволення потреб мешканців в усіх видах житлово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комунальних послуг, створення комфортних умов для проживання та надання їм якісних житлово-комунальних послуг, належне утримання об’єктів комунальної власності, поступова переорієнтація житлово-комунального господарства міста на енергоефективний шлях.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сфері дорожнього господарства у прогнозному періоді передбачається здійснити заходи із поліпшення транспортно-експлуатаційного стану існуючих автомобільних доріг, ремонту доріг міста, тротуарів, підвищення безпеки дорожнього руху.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Основними завданнями та напрямами, за якими буде продовжено роботу в сфері житлово-комунального є: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покращення стану будинків та умов проживання у них;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покращення стану вулиць, автомобільних доріг, забезпечення безпеки дорожнього руху.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Державне управління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Державне управління пріоритетним завданням є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забезпечення ефективної діяльності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ab/>
        <w:t xml:space="preserve">органу місцевої влади.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2027 - 2029</w:t>
      </w:r>
      <w:r>
        <w:rPr>
          <w:rFonts w:ascii="Times New Roman" w:hAnsi="Times New Roman" w:cs="Times New Roman"/>
          <w:sz w:val="28"/>
          <w:szCs w:val="28"/>
        </w:rPr>
        <w:t xml:space="preserve"> роках передбачаєтьс</w:t>
      </w:r>
      <w:r>
        <w:rPr>
          <w:rFonts w:ascii="Times New Roman" w:hAnsi="Times New Roman" w:cs="Times New Roman"/>
          <w:sz w:val="28"/>
          <w:szCs w:val="28"/>
        </w:rPr>
        <w:t xml:space="preserve">я здійснити заходи щодо створення умов для стабільного зростання економіки, залучення інвестицій, розвитку інфраструктури та підвищення рівня життя мешканців та мешканок, надання виконавчими органами високоякісних і доступних адміністративних, соціальних т</w:t>
      </w:r>
      <w:r>
        <w:rPr>
          <w:rFonts w:ascii="Times New Roman" w:hAnsi="Times New Roman" w:cs="Times New Roman"/>
          <w:sz w:val="28"/>
          <w:szCs w:val="28"/>
        </w:rPr>
        <w:t xml:space="preserve">а інших послуг населенню, налагодження ефективного діалогу та партнерських відносин виконавчих органів з організаціями громадського суспільства, забезпечення участі громадськості у реалізації регіональної політики та розв’язанні питань місцевого значення.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 2027-2029</w:t>
      </w:r>
      <w:r>
        <w:rPr>
          <w:rFonts w:ascii="Times New Roman" w:hAnsi="Times New Roman" w:cs="Times New Roman"/>
          <w:sz w:val="28"/>
          <w:szCs w:val="28"/>
        </w:rPr>
        <w:t xml:space="preserve"> роках передбачається здійснити такі заходи: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забезпечення принципу прозорості у діяльності виконавчих органів міської ради;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впровадження інформаційних технологій та електронного документообігу.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 на 2027 - 2029</w:t>
      </w:r>
      <w:r>
        <w:rPr>
          <w:rFonts w:ascii="Times New Roman" w:hAnsi="Times New Roman" w:cs="Times New Roman"/>
          <w:sz w:val="28"/>
          <w:szCs w:val="28"/>
        </w:rPr>
        <w:t xml:space="preserve"> роки (додаток 9) представлений в розрізі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галузей (секторів), у тому числі основні (пріоритетні) напрями публічних інвестицій.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Основним фінансовим джерелом публічних інвестицій на  </w:t>
      </w:r>
      <w:r>
        <w:rPr>
          <w:rFonts w:ascii="Times New Roman" w:hAnsi="Times New Roman" w:cs="Times New Roman"/>
          <w:sz w:val="28"/>
          <w:szCs w:val="28"/>
        </w:rPr>
        <w:t xml:space="preserve">2027-2029</w:t>
      </w:r>
      <w:r>
        <w:rPr>
          <w:rFonts w:ascii="Times New Roman" w:hAnsi="Times New Roman" w:cs="Times New Roman"/>
          <w:sz w:val="28"/>
          <w:szCs w:val="28"/>
        </w:rPr>
        <w:t xml:space="preserve"> роки є передача коштів загального фонду до спеціального фонду за рахунок доходів </w:t>
      </w:r>
      <w:r>
        <w:rPr>
          <w:rFonts w:ascii="Times New Roman" w:hAnsi="Times New Roman" w:cs="Times New Roman"/>
          <w:sz w:val="28"/>
          <w:szCs w:val="28"/>
        </w:rPr>
        <w:t xml:space="preserve">бюджету міської територіальної громади.</w:t>
      </w:r>
      <w:r>
        <w:rPr>
          <w:rFonts w:ascii="Times New Roman" w:hAnsi="Times New Roman" w:eastAsia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 w:after="0" w:afterAutospacing="0"/>
        <w:ind w:firstLine="708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VII. Взаємовідносини бюджету з іншими бюджетами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Обсяги міжбюджетних трансфертів з інших бюдж</w:t>
      </w:r>
      <w:r>
        <w:rPr>
          <w:rFonts w:ascii="Times New Roman" w:hAnsi="Times New Roman" w:cs="Times New Roman"/>
          <w:sz w:val="28"/>
          <w:szCs w:val="28"/>
        </w:rPr>
        <w:t xml:space="preserve">етів для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 xml:space="preserve">ї територіальної громади на 2027-2029</w:t>
      </w:r>
      <w:r>
        <w:rPr>
          <w:rFonts w:ascii="Times New Roman" w:hAnsi="Times New Roman" w:cs="Times New Roman"/>
          <w:sz w:val="28"/>
          <w:szCs w:val="28"/>
        </w:rPr>
        <w:t xml:space="preserve"> роки  передбачаються на підставі</w:t>
      </w:r>
      <w:r>
        <w:rPr>
          <w:rFonts w:ascii="Times New Roman" w:hAnsi="Times New Roman" w:cs="Times New Roman"/>
          <w:sz w:val="28"/>
          <w:szCs w:val="28"/>
        </w:rPr>
        <w:t xml:space="preserve"> прогнозного обсягу додаткової дотації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доведеної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Департаментом фінансів </w:t>
      </w:r>
      <w:r>
        <w:rPr>
          <w:rFonts w:ascii="Times New Roman" w:hAnsi="Times New Roman" w:cs="Times New Roman"/>
          <w:sz w:val="28"/>
          <w:szCs w:val="28"/>
        </w:rPr>
        <w:t xml:space="preserve">Харківської обласної військової адміністрації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Міжбюджетні трансферти мають цільове спрямування і використовуються відповідно до порядків їх використання.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Прогнозні показники міжбюджетних трансфе</w:t>
      </w:r>
      <w:r>
        <w:rPr>
          <w:rFonts w:ascii="Times New Roman" w:hAnsi="Times New Roman" w:cs="Times New Roman"/>
          <w:sz w:val="28"/>
          <w:szCs w:val="28"/>
        </w:rPr>
        <w:t xml:space="preserve">ртів до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</w:t>
      </w:r>
      <w:r>
        <w:rPr>
          <w:rFonts w:ascii="Times New Roman" w:hAnsi="Times New Roman" w:cs="Times New Roman"/>
          <w:sz w:val="28"/>
          <w:szCs w:val="28"/>
        </w:rPr>
        <w:t xml:space="preserve">ї територіальної громади на 2027-2029</w:t>
      </w:r>
      <w:r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(грн)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94"/>
        <w:tblW w:w="0" w:type="auto"/>
        <w:tblBorders/>
        <w:tblLook w:val="04A0" w:firstRow="1" w:lastRow="0" w:firstColumn="1" w:lastColumn="0" w:noHBand="0" w:noVBand="1"/>
      </w:tblPr>
      <w:tblGrid>
        <w:gridCol w:w="4390"/>
        <w:gridCol w:w="1701"/>
        <w:gridCol w:w="1559"/>
        <w:gridCol w:w="1695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Найменування трансферту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</w:rPr>
      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1169200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1256900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1331000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Інші субвенції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місцевим бюджетам на забезпечення оздоровленням та відпочинком дітей-сиріт та дітей, позбавлених батьківського піклування (крім тих, що виховуються у дитячих будинках сімейного типу та прийомн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их сім`ях); дітей,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збройної агресії російської федерації у Донецькій та Луганській областях, бойових дій чи збройних конфліктів, а також дітей загиблих (померлих) осіб, визначених у частині першій статті  10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 Закону України «Про статус ветеранів війни, гарантії їх соціального захисту»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r>
          </w:p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94491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98441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Субвенція з місцевого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здійснення переданих видатків у сфері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рахунок коштів освітньої субвенції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3255477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3538703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3789951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субвенції з місцевого бюджету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Наталинська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сільська територіальна громада)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15042870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16386222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17478957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субвенції з місцевого бюджету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Старовірівська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сільська територіальна громада)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134741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150015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167086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VIII. Інші положення та показники прогнозу бюджету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r>
    </w:p>
    <w:p>
      <w:pPr>
        <w:pBdr/>
        <w:spacing w:after="0" w:after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 </w:t>
      </w:r>
      <w:r>
        <w:rPr>
          <w:rFonts w:ascii="Times New Roman" w:hAnsi="Times New Roman" w:cs="Times New Roman"/>
          <w:sz w:val="28"/>
          <w:szCs w:val="28"/>
        </w:rPr>
        <w:t xml:space="preserve">прогнозі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 xml:space="preserve">7-2029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роки відсутня інформація для заповнення додатків  4 «Показники місцевого боргу», 5 «Показники боргу і надання місцевих гарантій» та 8 «Граничні показники кредитування бюджету за Типовою програмною класифікацією видатків та кредитування місцевого бюджету».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 w:right="0" w:firstLine="42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Показники</w:t>
      </w:r>
      <w:r>
        <w:rPr>
          <w:rFonts w:ascii="Times New Roman" w:hAnsi="Times New Roman" w:cs="Times New Roman"/>
          <w:sz w:val="28"/>
          <w:szCs w:val="28"/>
        </w:rPr>
        <w:t xml:space="preserve"> обсягів бюджету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 xml:space="preserve">ї територіальної громади на 2027-2029</w:t>
      </w:r>
      <w:r>
        <w:rPr>
          <w:rFonts w:ascii="Times New Roman" w:hAnsi="Times New Roman" w:cs="Times New Roman"/>
          <w:sz w:val="28"/>
          <w:szCs w:val="28"/>
        </w:rPr>
        <w:t xml:space="preserve"> роки будуть </w:t>
      </w:r>
      <w:r>
        <w:rPr>
          <w:rFonts w:ascii="Times New Roman" w:hAnsi="Times New Roman" w:cs="Times New Roman"/>
          <w:sz w:val="28"/>
          <w:szCs w:val="28"/>
        </w:rPr>
        <w:t xml:space="preserve">уточнюватися</w:t>
      </w:r>
      <w:r>
        <w:rPr>
          <w:rFonts w:ascii="Times New Roman" w:hAnsi="Times New Roman" w:cs="Times New Roman"/>
          <w:sz w:val="28"/>
          <w:szCs w:val="28"/>
        </w:rPr>
        <w:t xml:space="preserve"> залежно від законодавчих змін у податковій політиці, показників соціального та економічного розвитку території та реальних можливостей бюджету на відповідні роки. </w:t>
      </w:r>
      <w:r>
        <w:rPr>
          <w:rFonts w:ascii="Times New Roman" w:hAnsi="Times New Roman" w:cs="Times New Roman"/>
          <w:sz w:val="28"/>
          <w:szCs w:val="28"/>
        </w:rPr>
      </w:r>
    </w:p>
    <w:p w14:paraId="0446B56E">
      <w:pPr>
        <w:pBdr/>
        <w:spacing w:after="0" w:afterAutospacing="0"/>
        <w:ind w:right="0" w:firstLine="425"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1F55CD6">
      <w:pPr>
        <w:pBdr/>
        <w:spacing w:after="0" w:afterAutospacing="0"/>
        <w:ind w:right="0" w:firstLine="425"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 w14:paraId="54417183">
      <w:pPr>
        <w:pBdr/>
        <w:spacing w:after="0" w:afterAutospacing="0"/>
        <w:ind w:right="0" w:firstLine="425"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afterAutospacing="0"/>
        <w:ind w:right="0" w:firstLine="425"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4"/>
        <w:pBdr/>
        <w:spacing/>
        <w:ind/>
        <w:rPr>
          <w:szCs w:val="28"/>
        </w:rPr>
      </w:pPr>
      <w:r>
        <w:rPr>
          <w:szCs w:val="28"/>
        </w:rPr>
        <w:t xml:space="preserve">Керуючий справами (секретар) </w:t>
      </w:r>
      <w:r>
        <w:rPr>
          <w:szCs w:val="28"/>
        </w:rPr>
      </w:r>
    </w:p>
    <w:p>
      <w:pPr>
        <w:pStyle w:val="704"/>
        <w:pBdr/>
        <w:spacing/>
        <w:ind/>
        <w:rPr>
          <w:szCs w:val="28"/>
        </w:rPr>
      </w:pPr>
      <w:r>
        <w:rPr>
          <w:szCs w:val="28"/>
        </w:rPr>
        <w:t xml:space="preserve">виконавчого комітету  міської ради  </w:t>
      </w:r>
      <w:r>
        <w:rPr>
          <w:i/>
          <w:iCs/>
          <w:szCs w:val="28"/>
        </w:rPr>
        <w:t xml:space="preserve">           </w:t>
      </w:r>
      <w:r>
        <w:rPr>
          <w:szCs w:val="28"/>
        </w:rPr>
        <w:t xml:space="preserve">                            Катерина ХУДЯКОВА </w:t>
      </w:r>
      <w:r>
        <w:rPr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 w:firstLine="709" w:left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 w:firstLine="709" w:left="70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sectPr>
      <w:footnotePr/>
      <w:endnotePr/>
      <w:type w:val="nextPage"/>
      <w:pgSz w:h="16838" w:orient="portrait" w:w="11906"/>
      <w:pgMar w:top="850" w:right="850" w:bottom="568" w:left="170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BM Plex Serif">
    <w:panose1 w:val="05040102010807070707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D95E5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">
    <w:nsid w:val="4ECD57C1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cs="Times New Roman" w:eastAsiaTheme="minorHAns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2">
    <w:nsid w:val="56473C30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3">
    <w:nsid w:val="669112FF"/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4">
    <w:nsid w:val="6BCC2CA5"/>
    <w:lvl w:ilvl="0">
      <w:isLgl w:val="false"/>
      <w:lvlJc w:val="left"/>
      <w:lvlText w:val="%1"/>
      <w:numFmt w:val="decimal"/>
      <w:pPr>
        <w:pBdr/>
        <w:spacing/>
        <w:ind w:hanging="360" w:left="786"/>
      </w:pPr>
      <w:rPr>
        <w:rFonts w:hint="default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5">
    <w:nsid w:val="7562061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777E7FD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7">
    <w:nsid w:val="785F398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6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0"/>
    <w:next w:val="680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0"/>
    <w:next w:val="68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0"/>
    <w:next w:val="680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0"/>
    <w:next w:val="68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0"/>
    <w:next w:val="680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0"/>
    <w:next w:val="68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0"/>
    <w:next w:val="680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0"/>
    <w:next w:val="680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0"/>
    <w:next w:val="680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81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81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81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81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81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81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81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8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81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0"/>
    <w:next w:val="680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81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0"/>
    <w:next w:val="680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81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0"/>
    <w:next w:val="680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81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6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0"/>
    <w:next w:val="680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81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0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81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6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0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81"/>
    <w:link w:val="176"/>
    <w:uiPriority w:val="99"/>
    <w:pPr>
      <w:pBdr/>
      <w:spacing/>
      <w:ind/>
    </w:pPr>
  </w:style>
  <w:style w:type="paragraph" w:styleId="178">
    <w:name w:val="Footer"/>
    <w:basedOn w:val="680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81"/>
    <w:link w:val="178"/>
    <w:uiPriority w:val="99"/>
    <w:pPr>
      <w:pBdr/>
      <w:spacing/>
      <w:ind/>
    </w:pPr>
  </w:style>
  <w:style w:type="paragraph" w:styleId="180">
    <w:name w:val="Caption"/>
    <w:basedOn w:val="680"/>
    <w:next w:val="68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80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81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81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0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81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81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0"/>
    <w:next w:val="680"/>
    <w:uiPriority w:val="39"/>
    <w:unhideWhenUsed/>
    <w:pPr>
      <w:pBdr/>
      <w:spacing w:after="100"/>
      <w:ind/>
    </w:pPr>
  </w:style>
  <w:style w:type="paragraph" w:styleId="190">
    <w:name w:val="toc 2"/>
    <w:basedOn w:val="680"/>
    <w:next w:val="680"/>
    <w:uiPriority w:val="39"/>
    <w:unhideWhenUsed/>
    <w:pPr>
      <w:pBdr/>
      <w:spacing w:after="100"/>
      <w:ind w:left="220"/>
    </w:pPr>
  </w:style>
  <w:style w:type="paragraph" w:styleId="191">
    <w:name w:val="toc 3"/>
    <w:basedOn w:val="680"/>
    <w:next w:val="680"/>
    <w:uiPriority w:val="39"/>
    <w:unhideWhenUsed/>
    <w:pPr>
      <w:pBdr/>
      <w:spacing w:after="100"/>
      <w:ind w:left="440"/>
    </w:pPr>
  </w:style>
  <w:style w:type="paragraph" w:styleId="192">
    <w:name w:val="toc 4"/>
    <w:basedOn w:val="680"/>
    <w:next w:val="680"/>
    <w:uiPriority w:val="39"/>
    <w:unhideWhenUsed/>
    <w:pPr>
      <w:pBdr/>
      <w:spacing w:after="100"/>
      <w:ind w:left="660"/>
    </w:pPr>
  </w:style>
  <w:style w:type="paragraph" w:styleId="193">
    <w:name w:val="toc 5"/>
    <w:basedOn w:val="680"/>
    <w:next w:val="680"/>
    <w:uiPriority w:val="39"/>
    <w:unhideWhenUsed/>
    <w:pPr>
      <w:pBdr/>
      <w:spacing w:after="100"/>
      <w:ind w:left="880"/>
    </w:pPr>
  </w:style>
  <w:style w:type="paragraph" w:styleId="194">
    <w:name w:val="toc 6"/>
    <w:basedOn w:val="680"/>
    <w:next w:val="680"/>
    <w:uiPriority w:val="39"/>
    <w:unhideWhenUsed/>
    <w:pPr>
      <w:pBdr/>
      <w:spacing w:after="100"/>
      <w:ind w:left="1100"/>
    </w:pPr>
  </w:style>
  <w:style w:type="paragraph" w:styleId="195">
    <w:name w:val="toc 7"/>
    <w:basedOn w:val="680"/>
    <w:next w:val="680"/>
    <w:uiPriority w:val="39"/>
    <w:unhideWhenUsed/>
    <w:pPr>
      <w:pBdr/>
      <w:spacing w:after="100"/>
      <w:ind w:left="1320"/>
    </w:pPr>
  </w:style>
  <w:style w:type="paragraph" w:styleId="196">
    <w:name w:val="toc 8"/>
    <w:basedOn w:val="680"/>
    <w:next w:val="680"/>
    <w:uiPriority w:val="39"/>
    <w:unhideWhenUsed/>
    <w:pPr>
      <w:pBdr/>
      <w:spacing w:after="100"/>
      <w:ind w:left="1540"/>
    </w:pPr>
  </w:style>
  <w:style w:type="paragraph" w:styleId="197">
    <w:name w:val="toc 9"/>
    <w:basedOn w:val="680"/>
    <w:next w:val="680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81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0"/>
    <w:next w:val="680"/>
    <w:uiPriority w:val="99"/>
    <w:unhideWhenUsed/>
    <w:pPr>
      <w:pBdr/>
      <w:spacing w:after="0" w:afterAutospacing="0"/>
      <w:ind/>
    </w:pPr>
  </w:style>
  <w:style w:type="paragraph" w:styleId="680" w:default="1">
    <w:name w:val="Normal"/>
    <w:qFormat/>
    <w:pPr>
      <w:pBdr/>
      <w:spacing/>
      <w:ind/>
    </w:pPr>
  </w:style>
  <w:style w:type="character" w:styleId="681" w:default="1">
    <w:name w:val="Default Paragraph Font"/>
    <w:uiPriority w:val="1"/>
    <w:semiHidden/>
    <w:unhideWhenUsed/>
    <w:pPr>
      <w:pBdr/>
      <w:spacing/>
      <w:ind/>
    </w:pPr>
  </w:style>
  <w:style w:type="table" w:styleId="68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83" w:default="1">
    <w:name w:val="No List"/>
    <w:uiPriority w:val="99"/>
    <w:semiHidden/>
    <w:unhideWhenUsed/>
    <w:pPr>
      <w:pBdr/>
      <w:spacing/>
      <w:ind/>
    </w:pPr>
  </w:style>
  <w:style w:type="paragraph" w:styleId="684">
    <w:name w:val="List Paragraph"/>
    <w:basedOn w:val="680"/>
    <w:uiPriority w:val="34"/>
    <w:qFormat/>
    <w:pPr>
      <w:pBdr/>
      <w:spacing/>
      <w:ind w:left="720"/>
      <w:contextualSpacing w:val="true"/>
    </w:pPr>
  </w:style>
  <w:style w:type="paragraph" w:styleId="685">
    <w:name w:val="Normal (Web)"/>
    <w:basedOn w:val="680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686" w:customStyle="1">
    <w:name w:val="Нормальний текст"/>
    <w:basedOn w:val="680"/>
    <w:pPr>
      <w:pBdr/>
      <w:spacing w:after="0" w:before="120" w:line="240" w:lineRule="auto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 w:customStyle="1">
    <w:name w:val="rvps12"/>
    <w:basedOn w:val="68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styleId="688" w:customStyle="1">
    <w:name w:val="rvts6"/>
    <w:basedOn w:val="681"/>
    <w:pPr>
      <w:pBdr/>
      <w:spacing/>
      <w:ind/>
    </w:pPr>
  </w:style>
  <w:style w:type="paragraph" w:styleId="689">
    <w:name w:val="Balloon Text"/>
    <w:basedOn w:val="680"/>
    <w:link w:val="690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690" w:customStyle="1">
    <w:name w:val="Текст выноски Знак"/>
    <w:basedOn w:val="681"/>
    <w:link w:val="689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691" w:customStyle="1">
    <w:name w:val="docdata"/>
    <w:basedOn w:val="68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692" w:customStyle="1">
    <w:name w:val="1531"/>
    <w:basedOn w:val="681"/>
    <w:pPr>
      <w:pBdr/>
      <w:spacing/>
      <w:ind/>
    </w:pPr>
  </w:style>
  <w:style w:type="character" w:styleId="693" w:customStyle="1">
    <w:name w:val="2059"/>
    <w:basedOn w:val="681"/>
    <w:pPr>
      <w:pBdr/>
      <w:spacing/>
      <w:ind/>
    </w:pPr>
  </w:style>
  <w:style w:type="table" w:styleId="694">
    <w:name w:val="Table Grid"/>
    <w:basedOn w:val="682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95" w:customStyle="1">
    <w:name w:val="rvps2"/>
    <w:basedOn w:val="680"/>
    <w:pPr>
      <w:pBdr/>
      <w:spacing w:after="0" w:line="240" w:lineRule="auto"/>
      <w:ind w:firstLine="450"/>
      <w:jc w:val="both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696" w:customStyle="1">
    <w:name w:val="span_rvts9"/>
    <w:basedOn w:val="681"/>
    <w:pPr>
      <w:pBdr/>
      <w:spacing/>
      <w:ind/>
    </w:pPr>
    <w:rPr>
      <w:rFonts w:ascii="Times New Roman" w:hAnsi="Times New Roman" w:eastAsia="Times New Roman" w:cs="Times New Roman"/>
      <w:b/>
      <w:bCs/>
      <w:i w:val="0"/>
      <w:iCs w:val="0"/>
      <w:sz w:val="24"/>
      <w:szCs w:val="24"/>
    </w:rPr>
  </w:style>
  <w:style w:type="table" w:styleId="697" w:customStyle="1">
    <w:name w:val="article_table"/>
    <w:basedOn w:val="682"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US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98" w:customStyle="1">
    <w:name w:val="rvps14"/>
    <w:basedOn w:val="680"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699" w:customStyle="1">
    <w:name w:val="rvps11"/>
    <w:basedOn w:val="680"/>
    <w:pPr>
      <w:pBdr/>
      <w:spacing w:after="0" w:line="240" w:lineRule="auto"/>
      <w:ind/>
      <w:jc w:val="right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700" w:customStyle="1">
    <w:name w:val="span_rvts44"/>
    <w:basedOn w:val="681"/>
    <w:pPr>
      <w:pBdr/>
      <w:spacing/>
      <w:ind/>
    </w:pPr>
    <w:rPr>
      <w:rFonts w:ascii="Times New Roman" w:hAnsi="Times New Roman" w:eastAsia="Times New Roman" w:cs="Times New Roman"/>
      <w:b/>
      <w:bCs/>
      <w:i w:val="0"/>
      <w:iCs w:val="0"/>
      <w:sz w:val="24"/>
      <w:szCs w:val="24"/>
    </w:rPr>
  </w:style>
  <w:style w:type="character" w:styleId="701">
    <w:name w:val="Strong"/>
    <w:basedOn w:val="681"/>
    <w:uiPriority w:val="22"/>
    <w:qFormat/>
    <w:pPr>
      <w:pBdr/>
      <w:spacing/>
      <w:ind/>
    </w:pPr>
    <w:rPr>
      <w:b/>
      <w:bCs/>
    </w:rPr>
  </w:style>
  <w:style w:type="paragraph" w:styleId="702" w:customStyle="1">
    <w:name w:val="pdq2pg_selectionanchorcontainer"/>
    <w:basedOn w:val="68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703" w:customStyle="1">
    <w:name w:val="EMPTY_CELL_STYLE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1"/>
      <w:szCs w:val="20"/>
      <w:lang w:eastAsia="uk-UA"/>
    </w:rPr>
  </w:style>
  <w:style w:type="paragraph" w:styleId="704">
    <w:name w:val="Body Text"/>
    <w:basedOn w:val="680"/>
    <w:link w:val="705"/>
    <w:semiHidden/>
    <w:unhideWhenUsed/>
    <w:pPr>
      <w:pBdr/>
      <w:spacing w:after="0" w:line="240" w:lineRule="auto"/>
      <w:ind w:right="-2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05" w:customStyle="1">
    <w:name w:val="Основной текст Знак"/>
    <w:basedOn w:val="681"/>
    <w:link w:val="704"/>
    <w:semiHidden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6F6C3-C402-4B01-A1B9-18FB710C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250</cp:revision>
  <dcterms:created xsi:type="dcterms:W3CDTF">2025-08-06T07:36:00Z</dcterms:created>
  <dcterms:modified xsi:type="dcterms:W3CDTF">2026-08-07T10:28:19Z</dcterms:modified>
</cp:coreProperties>
</file>